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4AF82" w14:textId="77777777" w:rsidR="0014376D" w:rsidRPr="0014376D" w:rsidRDefault="0014376D" w:rsidP="00002C83">
      <w:pPr>
        <w:spacing w:after="0"/>
        <w:jc w:val="both"/>
        <w:rPr>
          <w:rFonts w:ascii="Book Antiqua" w:hAnsi="Book Antiqua" w:cs="Times New Roman"/>
          <w:b/>
        </w:rPr>
      </w:pPr>
      <w:r w:rsidRPr="0014376D">
        <w:rPr>
          <w:rFonts w:ascii="Book Antiqua" w:hAnsi="Book Antiqua" w:cs="Arial"/>
          <w:noProof/>
          <w:lang w:eastAsia="es-ES"/>
        </w:rPr>
        <w:drawing>
          <wp:anchor distT="0" distB="0" distL="114300" distR="114300" simplePos="0" relativeHeight="251658240" behindDoc="0" locked="0" layoutInCell="1" allowOverlap="1" wp14:anchorId="2F9C1293" wp14:editId="11816D58">
            <wp:simplePos x="1076325" y="895350"/>
            <wp:positionH relativeFrom="column">
              <wp:align>left</wp:align>
            </wp:positionH>
            <wp:positionV relativeFrom="paragraph">
              <wp:align>top</wp:align>
            </wp:positionV>
            <wp:extent cx="2581275" cy="1085850"/>
            <wp:effectExtent l="0" t="0" r="9525" b="0"/>
            <wp:wrapSquare wrapText="bothSides"/>
            <wp:docPr id="2" name="Imagen 2" descr="C:\Users\Nati\Desktop\LogoF.Advocats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i\Desktop\LogoF.AdvocatsHorizont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1085850"/>
                    </a:xfrm>
                    <a:prstGeom prst="rect">
                      <a:avLst/>
                    </a:prstGeom>
                    <a:noFill/>
                    <a:ln>
                      <a:noFill/>
                    </a:ln>
                  </pic:spPr>
                </pic:pic>
              </a:graphicData>
            </a:graphic>
          </wp:anchor>
        </w:drawing>
      </w:r>
      <w:r w:rsidR="00294EE2">
        <w:rPr>
          <w:rFonts w:ascii="Book Antiqua" w:hAnsi="Book Antiqua" w:cs="Times New Roman"/>
          <w:b/>
        </w:rPr>
        <w:br w:type="textWrapping" w:clear="all"/>
      </w:r>
    </w:p>
    <w:p w14:paraId="3992D156" w14:textId="77777777" w:rsidR="00C562C9" w:rsidRPr="00C562C9" w:rsidRDefault="00C562C9" w:rsidP="00002C83">
      <w:pPr>
        <w:spacing w:after="0"/>
        <w:rPr>
          <w:rFonts w:ascii="Book Antiqua" w:hAnsi="Book Antiqua" w:cs="Times New Roman"/>
          <w:b/>
          <w:i/>
          <w:sz w:val="24"/>
          <w:szCs w:val="24"/>
        </w:rPr>
      </w:pPr>
    </w:p>
    <w:p w14:paraId="7F68FF9F" w14:textId="08B06A5D" w:rsidR="002B5F3E" w:rsidRDefault="00C562C9" w:rsidP="00002C83">
      <w:pPr>
        <w:spacing w:after="0"/>
        <w:jc w:val="both"/>
        <w:rPr>
          <w:rFonts w:ascii="Book Antiqua" w:hAnsi="Book Antiqua" w:cs="Times New Roman"/>
          <w:b/>
          <w:sz w:val="24"/>
          <w:szCs w:val="24"/>
        </w:rPr>
      </w:pPr>
      <w:r>
        <w:rPr>
          <w:rFonts w:ascii="Book Antiqua" w:hAnsi="Book Antiqua" w:cs="Times New Roman"/>
          <w:b/>
          <w:sz w:val="24"/>
          <w:szCs w:val="24"/>
        </w:rPr>
        <w:t xml:space="preserve">La reclamación de daños y perjuicios </w:t>
      </w:r>
      <w:r w:rsidR="002B5F3E">
        <w:rPr>
          <w:rFonts w:ascii="Book Antiqua" w:hAnsi="Book Antiqua" w:cs="Times New Roman"/>
          <w:b/>
          <w:sz w:val="24"/>
          <w:szCs w:val="24"/>
        </w:rPr>
        <w:t xml:space="preserve">al comunero poseedor de la finca por parte del resto de copropietarios </w:t>
      </w:r>
    </w:p>
    <w:p w14:paraId="7A473222" w14:textId="77777777" w:rsidR="003978F1" w:rsidRPr="0014376D" w:rsidRDefault="003978F1" w:rsidP="00002C83">
      <w:pPr>
        <w:spacing w:after="0"/>
        <w:jc w:val="both"/>
        <w:rPr>
          <w:rFonts w:ascii="Book Antiqua" w:hAnsi="Book Antiqua" w:cs="Times New Roman"/>
          <w:b/>
        </w:rPr>
      </w:pPr>
    </w:p>
    <w:p w14:paraId="11D837C1" w14:textId="77777777" w:rsidR="00294EE2" w:rsidRDefault="00294EE2" w:rsidP="00002C83">
      <w:pPr>
        <w:spacing w:after="0"/>
        <w:jc w:val="both"/>
        <w:rPr>
          <w:rFonts w:ascii="Book Antiqua" w:hAnsi="Book Antiqua" w:cs="Times New Roman"/>
          <w:b/>
        </w:rPr>
      </w:pPr>
    </w:p>
    <w:p w14:paraId="185B35AB" w14:textId="64AB11D6" w:rsidR="00833394" w:rsidRPr="0014376D" w:rsidRDefault="00833394" w:rsidP="00002C83">
      <w:pPr>
        <w:spacing w:after="0"/>
        <w:jc w:val="both"/>
        <w:rPr>
          <w:rFonts w:ascii="Book Antiqua" w:hAnsi="Book Antiqua" w:cs="Times New Roman"/>
          <w:b/>
        </w:rPr>
      </w:pPr>
      <w:r w:rsidRPr="0014376D">
        <w:rPr>
          <w:rFonts w:ascii="Book Antiqua" w:hAnsi="Book Antiqua" w:cs="Times New Roman"/>
          <w:b/>
        </w:rPr>
        <w:t xml:space="preserve">Introducción </w:t>
      </w:r>
    </w:p>
    <w:p w14:paraId="7E26A993" w14:textId="77777777" w:rsidR="00766FF0" w:rsidRPr="0014376D" w:rsidRDefault="00766FF0" w:rsidP="00002C83">
      <w:pPr>
        <w:spacing w:after="0"/>
        <w:jc w:val="both"/>
        <w:rPr>
          <w:rFonts w:ascii="Book Antiqua" w:hAnsi="Book Antiqua" w:cs="Times New Roman"/>
          <w:b/>
        </w:rPr>
      </w:pPr>
    </w:p>
    <w:p w14:paraId="0BA3B0DD" w14:textId="51C7A507" w:rsidR="00BA30FA" w:rsidRDefault="00C562C9" w:rsidP="00002C83">
      <w:pPr>
        <w:spacing w:after="0"/>
        <w:jc w:val="both"/>
        <w:rPr>
          <w:rFonts w:ascii="Book Antiqua" w:hAnsi="Book Antiqua" w:cs="Times New Roman"/>
        </w:rPr>
      </w:pPr>
      <w:r>
        <w:rPr>
          <w:rFonts w:ascii="Book Antiqua" w:hAnsi="Book Antiqua" w:cs="Times New Roman"/>
        </w:rPr>
        <w:t xml:space="preserve">Es habitual que en inmuebles en proindiviso solamente uno de los copropietarios se beneficie de la finca, al residir en ella o beneficiarse de su posesión de forma exclusiva, estando los demás copropietarios sin la posesión y sin poder explotar su propiedad para obtener unos rendimientos económicos. </w:t>
      </w:r>
    </w:p>
    <w:p w14:paraId="1DEAB935" w14:textId="0B1EAF3D" w:rsidR="00C562C9" w:rsidRDefault="00C562C9" w:rsidP="00002C83">
      <w:pPr>
        <w:spacing w:after="0"/>
        <w:jc w:val="both"/>
        <w:rPr>
          <w:rFonts w:ascii="Book Antiqua" w:hAnsi="Book Antiqua" w:cs="Times New Roman"/>
        </w:rPr>
      </w:pPr>
    </w:p>
    <w:p w14:paraId="2140784C" w14:textId="63A4F6B2" w:rsidR="00651E1E" w:rsidRPr="00651E1E" w:rsidRDefault="00651E1E" w:rsidP="00651E1E">
      <w:pPr>
        <w:spacing w:after="0"/>
        <w:jc w:val="both"/>
        <w:rPr>
          <w:rFonts w:ascii="Book Antiqua" w:hAnsi="Book Antiqua" w:cs="Times New Roman"/>
        </w:rPr>
      </w:pPr>
      <w:r>
        <w:rPr>
          <w:rFonts w:ascii="Book Antiqua" w:hAnsi="Book Antiqua" w:cs="Times New Roman"/>
        </w:rPr>
        <w:t xml:space="preserve">En este sentido, </w:t>
      </w:r>
      <w:r w:rsidRPr="00651E1E">
        <w:rPr>
          <w:rFonts w:ascii="Book Antiqua" w:hAnsi="Book Antiqua" w:cs="Times New Roman"/>
        </w:rPr>
        <w:t>el uso de la finca por parte de uno de los cotitulares no debe impedir al resto de usarla, pues todo copropietario tiene derecho de servirse del inmueble como cosa común.</w:t>
      </w:r>
      <w:r>
        <w:rPr>
          <w:rFonts w:ascii="Book Antiqua" w:hAnsi="Book Antiqua" w:cs="Times New Roman"/>
        </w:rPr>
        <w:t xml:space="preserve"> </w:t>
      </w:r>
    </w:p>
    <w:p w14:paraId="33355D13" w14:textId="77777777" w:rsidR="00651E1E" w:rsidRDefault="00651E1E" w:rsidP="00002C83">
      <w:pPr>
        <w:spacing w:after="0"/>
        <w:jc w:val="both"/>
        <w:rPr>
          <w:rFonts w:ascii="Book Antiqua" w:hAnsi="Book Antiqua" w:cs="Times New Roman"/>
        </w:rPr>
      </w:pPr>
    </w:p>
    <w:p w14:paraId="54D47F15" w14:textId="26ED8841" w:rsidR="00C562C9" w:rsidRDefault="00C562C9" w:rsidP="00002C83">
      <w:pPr>
        <w:spacing w:after="0"/>
        <w:jc w:val="both"/>
        <w:rPr>
          <w:rFonts w:ascii="Book Antiqua" w:hAnsi="Book Antiqua" w:cs="Times New Roman"/>
        </w:rPr>
      </w:pPr>
      <w:r>
        <w:rPr>
          <w:rFonts w:ascii="Book Antiqua" w:hAnsi="Book Antiqua" w:cs="Times New Roman"/>
        </w:rPr>
        <w:t xml:space="preserve">Ante esta casuística, veremos como la jurisprudencia viene admitiendo la procedencia de demandar judicialmente a quién haga un uso exclusivo y excluyente de la finca, para que los demás copropietarios puedan percibir la correspondiente indemnización </w:t>
      </w:r>
      <w:r w:rsidR="005C380A">
        <w:rPr>
          <w:rFonts w:ascii="Book Antiqua" w:hAnsi="Book Antiqua" w:cs="Times New Roman"/>
        </w:rPr>
        <w:t>en concepto de</w:t>
      </w:r>
      <w:r>
        <w:rPr>
          <w:rFonts w:ascii="Book Antiqua" w:hAnsi="Book Antiqua" w:cs="Times New Roman"/>
        </w:rPr>
        <w:t xml:space="preserve"> daños y perjuicios.  </w:t>
      </w:r>
    </w:p>
    <w:p w14:paraId="21C4B52D" w14:textId="0F42A773" w:rsidR="00495FE5" w:rsidRPr="0014376D" w:rsidRDefault="00495FE5" w:rsidP="00002C83">
      <w:pPr>
        <w:spacing w:after="0"/>
        <w:jc w:val="both"/>
        <w:rPr>
          <w:rFonts w:ascii="Book Antiqua" w:hAnsi="Book Antiqua" w:cs="Times New Roman"/>
        </w:rPr>
      </w:pPr>
    </w:p>
    <w:p w14:paraId="12673D3E" w14:textId="39F11EAF" w:rsidR="00E33562" w:rsidRPr="00C562C9" w:rsidRDefault="00002C83" w:rsidP="00002C83">
      <w:pPr>
        <w:pStyle w:val="Prrafodelista"/>
        <w:numPr>
          <w:ilvl w:val="0"/>
          <w:numId w:val="6"/>
        </w:numPr>
        <w:spacing w:after="0"/>
        <w:jc w:val="both"/>
        <w:rPr>
          <w:rFonts w:ascii="Book Antiqua" w:hAnsi="Book Antiqua" w:cs="Times New Roman"/>
          <w:b/>
        </w:rPr>
      </w:pPr>
      <w:r>
        <w:rPr>
          <w:rFonts w:ascii="Book Antiqua" w:hAnsi="Book Antiqua" w:cs="Times New Roman"/>
          <w:b/>
        </w:rPr>
        <w:t>Viabilidad de la acción y marco legal</w:t>
      </w:r>
    </w:p>
    <w:p w14:paraId="16DD6100" w14:textId="2E15A735" w:rsidR="00C562C9" w:rsidRDefault="00C562C9" w:rsidP="00002C83">
      <w:pPr>
        <w:spacing w:after="0"/>
        <w:jc w:val="both"/>
        <w:rPr>
          <w:rFonts w:ascii="Book Antiqua" w:hAnsi="Book Antiqua" w:cs="Times New Roman"/>
          <w:b/>
          <w:u w:val="single"/>
        </w:rPr>
      </w:pPr>
    </w:p>
    <w:p w14:paraId="2245127F" w14:textId="77777777" w:rsidR="00002C83" w:rsidRPr="00002C83" w:rsidRDefault="00002C83" w:rsidP="00002C83">
      <w:pPr>
        <w:spacing w:after="0"/>
        <w:jc w:val="both"/>
        <w:rPr>
          <w:rFonts w:ascii="Book Antiqua" w:hAnsi="Book Antiqua" w:cs="Times New Roman"/>
        </w:rPr>
      </w:pPr>
      <w:r w:rsidRPr="00002C83">
        <w:rPr>
          <w:rFonts w:ascii="Book Antiqua" w:hAnsi="Book Antiqua" w:cs="Times New Roman"/>
        </w:rPr>
        <w:t>La utilización de la finca por uno solo de los partícipes en la comunidad de bienes, excluyendo el goce o uso de los demás y sin contar con su consentimiento es ilegítima, en cuanto infringe el art. 394 CC.</w:t>
      </w:r>
    </w:p>
    <w:p w14:paraId="4EE366BB" w14:textId="77777777" w:rsidR="00002C83" w:rsidRPr="00002C83" w:rsidRDefault="00002C83" w:rsidP="00002C83">
      <w:pPr>
        <w:spacing w:after="0"/>
        <w:jc w:val="both"/>
        <w:rPr>
          <w:rFonts w:ascii="Book Antiqua" w:hAnsi="Book Antiqua" w:cs="Times New Roman"/>
        </w:rPr>
      </w:pPr>
    </w:p>
    <w:p w14:paraId="0FBC5A39" w14:textId="37850B9C" w:rsidR="00C562C9" w:rsidRDefault="00002C83" w:rsidP="00002C83">
      <w:pPr>
        <w:spacing w:after="0"/>
        <w:jc w:val="both"/>
        <w:rPr>
          <w:rFonts w:ascii="Book Antiqua" w:hAnsi="Book Antiqua" w:cs="Times New Roman"/>
        </w:rPr>
      </w:pPr>
      <w:r w:rsidRPr="00002C83">
        <w:rPr>
          <w:rFonts w:ascii="Book Antiqua" w:hAnsi="Book Antiqua" w:cs="Times New Roman"/>
        </w:rPr>
        <w:t>Cabe la posibilidad de reclamar una indemnización en concepto de los daños y perjuicios económicos que nos causa como copropietarios, al detentar la ocupante un uso exclusivo y excluyente de la finca que nos impide explotar el inmueble, no teniendo la posibilidad</w:t>
      </w:r>
      <w:r>
        <w:rPr>
          <w:rFonts w:ascii="Book Antiqua" w:hAnsi="Book Antiqua" w:cs="Times New Roman"/>
        </w:rPr>
        <w:t>, por ejemplo,</w:t>
      </w:r>
      <w:r w:rsidRPr="00002C83">
        <w:rPr>
          <w:rFonts w:ascii="Book Antiqua" w:hAnsi="Book Antiqua" w:cs="Times New Roman"/>
        </w:rPr>
        <w:t xml:space="preserve"> de arrendar el citado inmueble a terceros con la obtención por ello de la parte de la renta </w:t>
      </w:r>
      <w:r w:rsidR="00697A22">
        <w:rPr>
          <w:rFonts w:ascii="Book Antiqua" w:hAnsi="Book Antiqua" w:cs="Times New Roman"/>
        </w:rPr>
        <w:t>que corresponda</w:t>
      </w:r>
      <w:r w:rsidRPr="00002C83">
        <w:rPr>
          <w:rFonts w:ascii="Book Antiqua" w:hAnsi="Book Antiqua" w:cs="Times New Roman"/>
        </w:rPr>
        <w:t>.</w:t>
      </w:r>
    </w:p>
    <w:p w14:paraId="5C35DB13" w14:textId="77777777" w:rsidR="00697A22" w:rsidRPr="00002C83" w:rsidRDefault="00697A22" w:rsidP="00002C83">
      <w:pPr>
        <w:spacing w:after="0"/>
        <w:jc w:val="both"/>
        <w:rPr>
          <w:rFonts w:ascii="Book Antiqua" w:hAnsi="Book Antiqua" w:cs="Times New Roman"/>
        </w:rPr>
      </w:pPr>
    </w:p>
    <w:p w14:paraId="29931E65" w14:textId="75FADC70" w:rsidR="00C562C9" w:rsidRPr="00002C83" w:rsidRDefault="00002C83" w:rsidP="00002C83">
      <w:pPr>
        <w:spacing w:after="0"/>
        <w:jc w:val="both"/>
        <w:rPr>
          <w:rFonts w:ascii="Book Antiqua" w:hAnsi="Book Antiqua" w:cs="Times New Roman"/>
        </w:rPr>
      </w:pPr>
      <w:r w:rsidRPr="00002C83">
        <w:rPr>
          <w:rFonts w:ascii="Book Antiqua" w:hAnsi="Book Antiqua" w:cs="Times New Roman"/>
        </w:rPr>
        <w:t xml:space="preserve">En consecuencia, </w:t>
      </w:r>
      <w:r w:rsidR="00351BBB">
        <w:rPr>
          <w:rFonts w:ascii="Book Antiqua" w:hAnsi="Book Antiqua" w:cs="Times New Roman"/>
        </w:rPr>
        <w:t>ante</w:t>
      </w:r>
      <w:r w:rsidRPr="00002C83">
        <w:rPr>
          <w:rFonts w:ascii="Book Antiqua" w:hAnsi="Book Antiqua" w:cs="Times New Roman"/>
        </w:rPr>
        <w:t xml:space="preserve"> esta casuística estamos habilitados a interponer una acción de reclamación de daños y perjuicios atendiendo a la renta media de mercado que correspondería a la finca según sus características y ubicación, en proporción al porcentaje de cuota </w:t>
      </w:r>
      <w:r>
        <w:rPr>
          <w:rFonts w:ascii="Book Antiqua" w:hAnsi="Book Antiqua" w:cs="Times New Roman"/>
        </w:rPr>
        <w:t>de la que seamos</w:t>
      </w:r>
      <w:r w:rsidRPr="00002C83">
        <w:rPr>
          <w:rFonts w:ascii="Book Antiqua" w:hAnsi="Book Antiqua" w:cs="Times New Roman"/>
        </w:rPr>
        <w:t xml:space="preserve"> condueños.</w:t>
      </w:r>
    </w:p>
    <w:p w14:paraId="39FB6B07" w14:textId="7232E57B" w:rsidR="00C562C9" w:rsidRPr="00002C83" w:rsidRDefault="00C562C9" w:rsidP="00002C83">
      <w:pPr>
        <w:spacing w:after="0"/>
        <w:jc w:val="both"/>
        <w:rPr>
          <w:rFonts w:ascii="Book Antiqua" w:hAnsi="Book Antiqua" w:cs="Times New Roman"/>
        </w:rPr>
      </w:pPr>
    </w:p>
    <w:p w14:paraId="259A8B95" w14:textId="34EF6599" w:rsidR="00002C83" w:rsidRPr="00002C83" w:rsidRDefault="00002C83" w:rsidP="00002C83">
      <w:pPr>
        <w:spacing w:after="0"/>
        <w:jc w:val="both"/>
        <w:rPr>
          <w:rFonts w:ascii="Book Antiqua" w:hAnsi="Book Antiqua" w:cs="Times New Roman"/>
        </w:rPr>
      </w:pPr>
      <w:r w:rsidRPr="00002C83">
        <w:rPr>
          <w:rFonts w:ascii="Book Antiqua" w:hAnsi="Book Antiqua" w:cs="Times New Roman"/>
        </w:rPr>
        <w:lastRenderedPageBreak/>
        <w:t xml:space="preserve">A nivel normativo, véase como </w:t>
      </w:r>
      <w:r>
        <w:rPr>
          <w:rFonts w:ascii="Book Antiqua" w:hAnsi="Book Antiqua" w:cs="Times New Roman"/>
        </w:rPr>
        <w:t>el Código Civil dispone en su art. 394 que “</w:t>
      </w:r>
      <w:r w:rsidRPr="00002C83">
        <w:rPr>
          <w:rFonts w:ascii="Book Antiqua" w:hAnsi="Book Antiqua" w:cs="Times New Roman"/>
          <w:i/>
        </w:rPr>
        <w:t>Cada partícipe podrá servirse de las cosas comunes, siempre que disponga de ellas conforme a su destino y de manera que no perjudique el interés de la comunidad, ni impida a los copartícipes utilizarlas según su derecho</w:t>
      </w:r>
      <w:r w:rsidRPr="00002C83">
        <w:rPr>
          <w:rFonts w:ascii="Book Antiqua" w:hAnsi="Book Antiqua" w:cs="Times New Roman"/>
        </w:rPr>
        <w:t>”.</w:t>
      </w:r>
    </w:p>
    <w:p w14:paraId="371FD017" w14:textId="5A7ED6A6" w:rsidR="00002C83" w:rsidRPr="00002C83" w:rsidRDefault="00002C83" w:rsidP="00002C83">
      <w:pPr>
        <w:spacing w:after="0"/>
        <w:jc w:val="both"/>
        <w:rPr>
          <w:rFonts w:ascii="Book Antiqua" w:hAnsi="Book Antiqua" w:cs="Times New Roman"/>
        </w:rPr>
      </w:pPr>
    </w:p>
    <w:p w14:paraId="4EFD8568" w14:textId="35045B79" w:rsidR="00002C83" w:rsidRPr="00002C83" w:rsidRDefault="00002C83" w:rsidP="00002C83">
      <w:pPr>
        <w:spacing w:after="0"/>
        <w:jc w:val="both"/>
        <w:rPr>
          <w:rFonts w:ascii="Book Antiqua" w:hAnsi="Book Antiqua" w:cs="Times New Roman"/>
        </w:rPr>
      </w:pPr>
      <w:r>
        <w:rPr>
          <w:rFonts w:ascii="Book Antiqua" w:hAnsi="Book Antiqua" w:cs="Times New Roman"/>
        </w:rPr>
        <w:t xml:space="preserve">Por su parte, el art. 1902 CC </w:t>
      </w:r>
      <w:r w:rsidR="00351BBB">
        <w:rPr>
          <w:rFonts w:ascii="Book Antiqua" w:hAnsi="Book Antiqua" w:cs="Times New Roman"/>
        </w:rPr>
        <w:t>establece</w:t>
      </w:r>
      <w:r>
        <w:rPr>
          <w:rFonts w:ascii="Book Antiqua" w:hAnsi="Book Antiqua" w:cs="Times New Roman"/>
        </w:rPr>
        <w:t xml:space="preserve">: </w:t>
      </w:r>
      <w:r w:rsidRPr="00002C83">
        <w:rPr>
          <w:rFonts w:ascii="Book Antiqua" w:hAnsi="Book Antiqua" w:cs="Times New Roman"/>
        </w:rPr>
        <w:t>“</w:t>
      </w:r>
      <w:r w:rsidRPr="00002C83">
        <w:rPr>
          <w:rFonts w:ascii="Book Antiqua" w:hAnsi="Book Antiqua" w:cs="Times New Roman"/>
          <w:i/>
        </w:rPr>
        <w:t>El que por acción u omisión causa daño a otro, interviniendo culpa o negligencia, está obligado a reparar el daño causado</w:t>
      </w:r>
      <w:r w:rsidRPr="00002C83">
        <w:rPr>
          <w:rFonts w:ascii="Book Antiqua" w:hAnsi="Book Antiqua" w:cs="Times New Roman"/>
        </w:rPr>
        <w:t>”.</w:t>
      </w:r>
    </w:p>
    <w:p w14:paraId="17D56993" w14:textId="77777777" w:rsidR="00002C83" w:rsidRPr="00002C83" w:rsidRDefault="00002C83" w:rsidP="00002C83">
      <w:pPr>
        <w:spacing w:after="0"/>
        <w:jc w:val="both"/>
        <w:rPr>
          <w:rFonts w:ascii="Book Antiqua" w:hAnsi="Book Antiqua" w:cs="Times New Roman"/>
        </w:rPr>
      </w:pPr>
    </w:p>
    <w:p w14:paraId="6DA5FAA7" w14:textId="09E23F88" w:rsidR="00002C83" w:rsidRDefault="00002C83" w:rsidP="00002C83">
      <w:pPr>
        <w:spacing w:after="0"/>
        <w:jc w:val="both"/>
        <w:rPr>
          <w:rFonts w:ascii="Book Antiqua" w:hAnsi="Book Antiqua" w:cs="Times New Roman"/>
        </w:rPr>
      </w:pPr>
      <w:r w:rsidRPr="00002C83">
        <w:rPr>
          <w:rFonts w:ascii="Book Antiqua" w:hAnsi="Book Antiqua" w:cs="Times New Roman"/>
        </w:rPr>
        <w:t xml:space="preserve">Recientemente, la </w:t>
      </w:r>
      <w:r w:rsidRPr="00002C83">
        <w:rPr>
          <w:rFonts w:ascii="Book Antiqua" w:hAnsi="Book Antiqua" w:cs="Times New Roman"/>
          <w:u w:val="single"/>
        </w:rPr>
        <w:t>STS, Sala 1ª, 244/2022 de 29 de marzo</w:t>
      </w:r>
      <w:r w:rsidRPr="00002C83">
        <w:rPr>
          <w:rFonts w:ascii="Book Antiqua" w:hAnsi="Book Antiqua" w:cs="Times New Roman"/>
        </w:rPr>
        <w:t xml:space="preserve">, siguiendo el criterio que es doctrina jurisprudencial del Tribunal Supremo, y partiendo de las SSTS, Sala 1ª, 93/2016, de 19 de febrero y 700/2015, de 9 de diciembre, dispone lo siguiente: </w:t>
      </w:r>
    </w:p>
    <w:p w14:paraId="47AC0C6A" w14:textId="77777777" w:rsidR="00002C83" w:rsidRPr="00002C83" w:rsidRDefault="00002C83" w:rsidP="00002C83">
      <w:pPr>
        <w:spacing w:after="0"/>
        <w:jc w:val="both"/>
        <w:rPr>
          <w:rFonts w:ascii="Book Antiqua" w:hAnsi="Book Antiqua" w:cs="Times New Roman"/>
        </w:rPr>
      </w:pPr>
    </w:p>
    <w:p w14:paraId="1DA5285A" w14:textId="3050B4C3" w:rsidR="00833394" w:rsidRPr="00002C83" w:rsidRDefault="00002C83" w:rsidP="00002C83">
      <w:pPr>
        <w:spacing w:after="0"/>
        <w:ind w:left="708"/>
        <w:jc w:val="both"/>
        <w:rPr>
          <w:rFonts w:ascii="Book Antiqua" w:hAnsi="Book Antiqua" w:cs="Times New Roman"/>
          <w:i/>
        </w:rPr>
      </w:pPr>
      <w:r w:rsidRPr="00002C83">
        <w:rPr>
          <w:rFonts w:ascii="Book Antiqua" w:hAnsi="Book Antiqua" w:cs="Times New Roman"/>
          <w:i/>
        </w:rPr>
        <w:t>“Los límites, establecidos por el artículo 394 CC, de que el uso por cada comunero de la cosa común sea "conforme a su destino" y de que no "impida a los copartícipes utilizarla según su derecho", no plantean problemas difíciles de interpretación jurídica. (…) -es sin duda contrario a derecho que un comunero utilice la cosa común de un modo excluyente: que impida el ejercicio por el otro u otro de los partícipes de su igual facultad de uso solidario; que, en p</w:t>
      </w:r>
      <w:r>
        <w:rPr>
          <w:rFonts w:ascii="Book Antiqua" w:hAnsi="Book Antiqua" w:cs="Times New Roman"/>
          <w:i/>
        </w:rPr>
        <w:t>alabras del artículo 1695.2ª CC</w:t>
      </w:r>
      <w:r w:rsidRPr="00002C83">
        <w:rPr>
          <w:rFonts w:ascii="Book Antiqua" w:hAnsi="Book Antiqua" w:cs="Times New Roman"/>
          <w:i/>
        </w:rPr>
        <w:t>, "impida el uso a que tienen derecho sus compañeros".</w:t>
      </w:r>
    </w:p>
    <w:p w14:paraId="0C5FF6D5" w14:textId="23337781" w:rsidR="006301DF" w:rsidRDefault="006301DF" w:rsidP="00002C83">
      <w:pPr>
        <w:spacing w:after="0"/>
        <w:jc w:val="both"/>
        <w:rPr>
          <w:rFonts w:ascii="Book Antiqua" w:hAnsi="Book Antiqua" w:cs="Times New Roman"/>
        </w:rPr>
      </w:pPr>
    </w:p>
    <w:p w14:paraId="087C6177" w14:textId="4E42A5DD" w:rsidR="00002C83" w:rsidRDefault="00002C83" w:rsidP="00002C83">
      <w:pPr>
        <w:spacing w:after="0"/>
        <w:jc w:val="both"/>
        <w:rPr>
          <w:rFonts w:ascii="Book Antiqua" w:hAnsi="Book Antiqua" w:cs="Times New Roman"/>
        </w:rPr>
      </w:pPr>
      <w:r w:rsidRPr="00002C83">
        <w:rPr>
          <w:rFonts w:ascii="Book Antiqua" w:hAnsi="Book Antiqua" w:cs="Times New Roman"/>
        </w:rPr>
        <w:t>Consiguientemente, la jurisprudencia menor ha acogido la doctrina sentada por el TS y ha resuelto casos análogos de la siguiente forma:</w:t>
      </w:r>
    </w:p>
    <w:p w14:paraId="6DE1F15D" w14:textId="77777777" w:rsidR="00002C83" w:rsidRDefault="00002C83" w:rsidP="00002C83">
      <w:pPr>
        <w:spacing w:after="0"/>
        <w:jc w:val="both"/>
        <w:rPr>
          <w:rFonts w:ascii="Book Antiqua" w:hAnsi="Book Antiqua" w:cs="Times New Roman"/>
        </w:rPr>
      </w:pPr>
    </w:p>
    <w:p w14:paraId="6469C6B6" w14:textId="7A8A61DC" w:rsidR="00002C83" w:rsidRPr="00002C83" w:rsidRDefault="00002C83" w:rsidP="00002C83">
      <w:pPr>
        <w:spacing w:after="0"/>
        <w:jc w:val="both"/>
        <w:rPr>
          <w:rFonts w:ascii="Book Antiqua" w:hAnsi="Book Antiqua"/>
          <w:b/>
          <w:bCs/>
        </w:rPr>
      </w:pPr>
      <w:r w:rsidRPr="00002C83">
        <w:rPr>
          <w:rFonts w:ascii="Book Antiqua" w:hAnsi="Book Antiqua"/>
          <w:u w:val="single"/>
        </w:rPr>
        <w:t xml:space="preserve">SAP </w:t>
      </w:r>
      <w:r w:rsidR="00351BBB">
        <w:rPr>
          <w:rFonts w:ascii="Book Antiqua" w:hAnsi="Book Antiqua"/>
          <w:u w:val="single"/>
        </w:rPr>
        <w:t xml:space="preserve">de </w:t>
      </w:r>
      <w:r w:rsidRPr="00002C83">
        <w:rPr>
          <w:rFonts w:ascii="Book Antiqua" w:hAnsi="Book Antiqua"/>
          <w:u w:val="single"/>
        </w:rPr>
        <w:t>Oviedo, Sec. 6ª, 246/2019, de 10 de julio</w:t>
      </w:r>
      <w:r w:rsidRPr="00002C83">
        <w:rPr>
          <w:rFonts w:ascii="Book Antiqua" w:hAnsi="Book Antiqua"/>
          <w:b/>
          <w:bCs/>
        </w:rPr>
        <w:t>:</w:t>
      </w:r>
    </w:p>
    <w:p w14:paraId="48F9190C" w14:textId="77777777" w:rsidR="00002C83" w:rsidRPr="00002C83" w:rsidRDefault="00002C83" w:rsidP="00002C83">
      <w:pPr>
        <w:spacing w:after="0"/>
        <w:jc w:val="both"/>
        <w:rPr>
          <w:rFonts w:ascii="Book Antiqua" w:hAnsi="Book Antiqua"/>
          <w:b/>
          <w:bCs/>
        </w:rPr>
      </w:pPr>
    </w:p>
    <w:p w14:paraId="1742AE8A" w14:textId="77777777" w:rsidR="00002C83" w:rsidRPr="00002C83" w:rsidRDefault="00002C83" w:rsidP="00002C83">
      <w:pPr>
        <w:spacing w:after="0"/>
        <w:ind w:left="708"/>
        <w:jc w:val="both"/>
        <w:rPr>
          <w:rFonts w:ascii="Book Antiqua" w:hAnsi="Book Antiqua"/>
        </w:rPr>
      </w:pPr>
      <w:r w:rsidRPr="00002C83">
        <w:rPr>
          <w:rFonts w:ascii="Book Antiqua" w:hAnsi="Book Antiqua"/>
          <w:i/>
          <w:iCs/>
        </w:rPr>
        <w:t xml:space="preserve">“No se trata por ello, de aplicar una indemnización automática por el citado no uso del otro comunero que se opone al uso exclusivo y excluyente por parte del otro, sino que una vez justificado que el uso exclusivo del inmueble se mantiene pese a la voluntad contraria del otro copropietario con idéntica cuota, en este caso la demandada que requirió al actor para que le compensara de tal ocupación exclusiva y excluyente, esa oposición expresa a la continuidad del uso sin contraprestación, debe estimarse </w:t>
      </w:r>
      <w:r w:rsidRPr="00002C83">
        <w:rPr>
          <w:rFonts w:ascii="Book Antiqua" w:hAnsi="Book Antiqua"/>
          <w:b/>
          <w:bCs/>
          <w:i/>
          <w:iCs/>
        </w:rPr>
        <w:t>da derecho a pretender una indemnización por los perjuicios causados, concretados en este caso en la perdida de la posibilidad de arrendar el citado inmueble a terceros con la obtención por ello de la parte de la renta correspondiente</w:t>
      </w:r>
      <w:r w:rsidRPr="00002C83">
        <w:rPr>
          <w:rFonts w:ascii="Book Antiqua" w:hAnsi="Book Antiqua"/>
        </w:rPr>
        <w:t>”.</w:t>
      </w:r>
    </w:p>
    <w:p w14:paraId="742E9B0D" w14:textId="77777777" w:rsidR="00002C83" w:rsidRPr="00002C83" w:rsidRDefault="00002C83" w:rsidP="00002C83">
      <w:pPr>
        <w:spacing w:after="0"/>
        <w:ind w:left="708"/>
        <w:jc w:val="both"/>
        <w:rPr>
          <w:rFonts w:ascii="Book Antiqua" w:hAnsi="Book Antiqua"/>
        </w:rPr>
      </w:pPr>
    </w:p>
    <w:p w14:paraId="3AFF4765" w14:textId="77777777" w:rsidR="00002C83" w:rsidRPr="00002C83" w:rsidRDefault="00002C83" w:rsidP="00002C83">
      <w:pPr>
        <w:spacing w:after="0"/>
        <w:ind w:left="708"/>
        <w:jc w:val="both"/>
        <w:rPr>
          <w:rFonts w:ascii="Book Antiqua" w:hAnsi="Book Antiqua"/>
          <w:b/>
          <w:bCs/>
        </w:rPr>
      </w:pPr>
      <w:r w:rsidRPr="00002C83">
        <w:rPr>
          <w:rFonts w:ascii="Book Antiqua" w:hAnsi="Book Antiqua"/>
        </w:rPr>
        <w:t>“</w:t>
      </w:r>
      <w:r w:rsidRPr="00002C83">
        <w:rPr>
          <w:rFonts w:ascii="Book Antiqua" w:hAnsi="Book Antiqua"/>
          <w:i/>
          <w:iCs/>
        </w:rPr>
        <w:t xml:space="preserve">En definitiva </w:t>
      </w:r>
      <w:r w:rsidRPr="00002C83">
        <w:rPr>
          <w:rFonts w:ascii="Book Antiqua" w:hAnsi="Book Antiqua"/>
          <w:b/>
          <w:bCs/>
          <w:i/>
          <w:iCs/>
        </w:rPr>
        <w:t xml:space="preserve">el art. 394 </w:t>
      </w:r>
      <w:proofErr w:type="spellStart"/>
      <w:r w:rsidRPr="00002C83">
        <w:rPr>
          <w:rFonts w:ascii="Book Antiqua" w:hAnsi="Book Antiqua"/>
          <w:b/>
          <w:bCs/>
          <w:i/>
          <w:iCs/>
        </w:rPr>
        <w:t>CCivil</w:t>
      </w:r>
      <w:proofErr w:type="spellEnd"/>
      <w:r w:rsidRPr="00002C83">
        <w:rPr>
          <w:rFonts w:ascii="Book Antiqua" w:hAnsi="Book Antiqua"/>
          <w:i/>
          <w:iCs/>
        </w:rPr>
        <w:t xml:space="preserve"> no condiciona el uso de la cosa común por cada condueño más que a que dicho uso no impida a los copartícipes usarla según su derecho, lo que, en principio, </w:t>
      </w:r>
      <w:r w:rsidRPr="00002C83">
        <w:rPr>
          <w:rFonts w:ascii="Book Antiqua" w:hAnsi="Book Antiqua"/>
          <w:b/>
          <w:bCs/>
          <w:i/>
          <w:iCs/>
        </w:rPr>
        <w:t>supone un uso solidario</w:t>
      </w:r>
      <w:r w:rsidRPr="00002C83">
        <w:rPr>
          <w:rFonts w:ascii="Book Antiqua" w:hAnsi="Book Antiqua"/>
          <w:i/>
          <w:iCs/>
        </w:rPr>
        <w:t xml:space="preserve">, de forma que cuando como aquí sucede por la propia naturaleza de la cosa común, este no es posible, </w:t>
      </w:r>
      <w:r w:rsidRPr="00002C83">
        <w:rPr>
          <w:rFonts w:ascii="Book Antiqua" w:hAnsi="Book Antiqua"/>
          <w:b/>
          <w:bCs/>
          <w:i/>
          <w:iCs/>
        </w:rPr>
        <w:t>esa facultad que ostenta todo copropietario de servirse de la cosa común</w:t>
      </w:r>
      <w:r w:rsidRPr="00002C83">
        <w:rPr>
          <w:rFonts w:ascii="Book Antiqua" w:hAnsi="Book Antiqua"/>
          <w:i/>
          <w:iCs/>
        </w:rPr>
        <w:t xml:space="preserve"> conforme a su destino, </w:t>
      </w:r>
      <w:r w:rsidRPr="00002C83">
        <w:rPr>
          <w:rFonts w:ascii="Book Antiqua" w:hAnsi="Book Antiqua"/>
          <w:b/>
          <w:bCs/>
          <w:i/>
          <w:iCs/>
        </w:rPr>
        <w:t>no puede utilizarse en perjuicio de la comunidad o resto de los partícipes</w:t>
      </w:r>
      <w:r w:rsidRPr="00002C83">
        <w:rPr>
          <w:rFonts w:ascii="Book Antiqua" w:hAnsi="Book Antiqua"/>
          <w:i/>
          <w:iCs/>
        </w:rPr>
        <w:t xml:space="preserve">, </w:t>
      </w:r>
      <w:r w:rsidRPr="00002C83">
        <w:rPr>
          <w:rFonts w:ascii="Book Antiqua" w:hAnsi="Book Antiqua"/>
          <w:b/>
          <w:bCs/>
          <w:i/>
          <w:iCs/>
        </w:rPr>
        <w:t>de modo que ha de estimarse que el uso exclusivo y excluyente en este caso por su propia naturaleza de la vivienda común tiene una indudable relevancia económica para el coparticipe excluido</w:t>
      </w:r>
      <w:r w:rsidRPr="00002C83">
        <w:rPr>
          <w:rFonts w:ascii="Book Antiqua" w:hAnsi="Book Antiqua"/>
          <w:i/>
          <w:iCs/>
        </w:rPr>
        <w:t xml:space="preserve"> del mismo al verse privado también de la obtención de frutos, </w:t>
      </w:r>
      <w:r w:rsidRPr="00002C83">
        <w:rPr>
          <w:rFonts w:ascii="Book Antiqua" w:hAnsi="Book Antiqua"/>
          <w:b/>
          <w:bCs/>
          <w:i/>
          <w:iCs/>
        </w:rPr>
        <w:t xml:space="preserve">de forma que una vez este último muestre su disconformidad con ese uso </w:t>
      </w:r>
      <w:r w:rsidRPr="00002C83">
        <w:rPr>
          <w:rFonts w:ascii="Book Antiqua" w:hAnsi="Book Antiqua"/>
          <w:b/>
          <w:bCs/>
          <w:i/>
          <w:iCs/>
        </w:rPr>
        <w:lastRenderedPageBreak/>
        <w:t>exclusivo incompatible con su derecho y que le perjudica</w:t>
      </w:r>
      <w:r w:rsidRPr="00002C83">
        <w:rPr>
          <w:rFonts w:ascii="Book Antiqua" w:hAnsi="Book Antiqua"/>
          <w:i/>
          <w:iCs/>
        </w:rPr>
        <w:t xml:space="preserve">, con el requerimiento de compensación cursado en este caso, </w:t>
      </w:r>
      <w:r w:rsidRPr="00002C83">
        <w:rPr>
          <w:rFonts w:ascii="Book Antiqua" w:hAnsi="Book Antiqua"/>
          <w:b/>
          <w:bCs/>
          <w:i/>
          <w:iCs/>
        </w:rPr>
        <w:t>cesa la presunción de consentimiento tácito a la misma, surgiendo el derecho a la indemnización de daños y perjuicios</w:t>
      </w:r>
      <w:r w:rsidRPr="00002C83">
        <w:rPr>
          <w:rFonts w:ascii="Book Antiqua" w:hAnsi="Book Antiqua"/>
          <w:b/>
          <w:bCs/>
        </w:rPr>
        <w:t>”.</w:t>
      </w:r>
    </w:p>
    <w:p w14:paraId="6E62C954" w14:textId="77777777" w:rsidR="00002C83" w:rsidRPr="00002C83" w:rsidRDefault="00002C83" w:rsidP="00002C83">
      <w:pPr>
        <w:spacing w:after="0"/>
        <w:jc w:val="both"/>
        <w:rPr>
          <w:rFonts w:ascii="Book Antiqua" w:hAnsi="Book Antiqua"/>
          <w:b/>
          <w:bCs/>
        </w:rPr>
      </w:pPr>
    </w:p>
    <w:p w14:paraId="5ED27AF9" w14:textId="0FF57413" w:rsidR="00002C83" w:rsidRDefault="00002C83" w:rsidP="00002C83">
      <w:pPr>
        <w:spacing w:after="0"/>
        <w:jc w:val="both"/>
        <w:rPr>
          <w:rFonts w:ascii="Book Antiqua" w:hAnsi="Book Antiqua"/>
        </w:rPr>
      </w:pPr>
      <w:r w:rsidRPr="00002C83">
        <w:rPr>
          <w:rFonts w:ascii="Book Antiqua" w:hAnsi="Book Antiqua"/>
          <w:iCs/>
          <w:u w:val="single"/>
        </w:rPr>
        <w:t>SAP de Barcelona, Sec. 4ª, de 13 de mayo de 2015</w:t>
      </w:r>
      <w:r w:rsidRPr="00002C83">
        <w:rPr>
          <w:rFonts w:ascii="Book Antiqua" w:hAnsi="Book Antiqua"/>
        </w:rPr>
        <w:t>:</w:t>
      </w:r>
    </w:p>
    <w:p w14:paraId="5672B6F9" w14:textId="77777777" w:rsidR="00002C83" w:rsidRPr="00002C83" w:rsidRDefault="00002C83" w:rsidP="00002C83">
      <w:pPr>
        <w:spacing w:after="0"/>
        <w:jc w:val="both"/>
        <w:rPr>
          <w:rFonts w:ascii="Book Antiqua" w:hAnsi="Book Antiqua"/>
        </w:rPr>
      </w:pPr>
    </w:p>
    <w:p w14:paraId="4BC48C2E" w14:textId="2F21E141" w:rsidR="00002C83" w:rsidRPr="00002C83" w:rsidRDefault="00002C83" w:rsidP="00002C83">
      <w:pPr>
        <w:spacing w:after="0"/>
        <w:ind w:left="708"/>
        <w:jc w:val="both"/>
        <w:rPr>
          <w:rFonts w:ascii="Book Antiqua" w:hAnsi="Book Antiqua"/>
        </w:rPr>
      </w:pPr>
      <w:r w:rsidRPr="00002C83">
        <w:rPr>
          <w:rFonts w:ascii="Book Antiqua" w:hAnsi="Book Antiqua"/>
        </w:rPr>
        <w:t xml:space="preserve">En los presentes autos, la finca objeto de litigio era un local en copropiedad, y esta </w:t>
      </w:r>
      <w:r w:rsidR="00351BBB">
        <w:rPr>
          <w:rFonts w:ascii="Book Antiqua" w:hAnsi="Book Antiqua"/>
        </w:rPr>
        <w:t>sentencia de segunda instancia</w:t>
      </w:r>
      <w:r w:rsidRPr="00002C83">
        <w:rPr>
          <w:rFonts w:ascii="Book Antiqua" w:hAnsi="Book Antiqua"/>
        </w:rPr>
        <w:t xml:space="preserve"> recoge que “</w:t>
      </w:r>
      <w:r w:rsidRPr="00002C83">
        <w:rPr>
          <w:rFonts w:ascii="Book Antiqua" w:hAnsi="Book Antiqua"/>
          <w:i/>
          <w:iCs/>
        </w:rPr>
        <w:t xml:space="preserve">la jurisprudencia se inclina por considerar que el uso exclusivo y excluyente del inmueble por un copropietario, que impide el uso de los demás copartícipes, </w:t>
      </w:r>
      <w:r w:rsidRPr="00002C83">
        <w:rPr>
          <w:rFonts w:ascii="Book Antiqua" w:hAnsi="Book Antiqua"/>
          <w:b/>
          <w:bCs/>
          <w:i/>
          <w:iCs/>
        </w:rPr>
        <w:t>debe compensarse a los excluidos del uso con una renta o indemnización, lo cual viene amparado por el artículo 394 del Código Civil</w:t>
      </w:r>
      <w:r w:rsidRPr="00002C83">
        <w:rPr>
          <w:rFonts w:ascii="Book Antiqua" w:hAnsi="Book Antiqua"/>
          <w:i/>
          <w:iCs/>
        </w:rPr>
        <w:t xml:space="preserve"> y la interpretación que del mismo se hace</w:t>
      </w:r>
      <w:r w:rsidRPr="00002C83">
        <w:rPr>
          <w:rFonts w:ascii="Book Antiqua" w:hAnsi="Book Antiqua"/>
        </w:rPr>
        <w:t>”.</w:t>
      </w:r>
    </w:p>
    <w:p w14:paraId="5897EF3A" w14:textId="57C175CF" w:rsidR="00002C83" w:rsidRDefault="00002C83" w:rsidP="00002C83">
      <w:pPr>
        <w:spacing w:after="0"/>
        <w:jc w:val="both"/>
        <w:rPr>
          <w:rFonts w:ascii="Book Antiqua" w:hAnsi="Book Antiqua" w:cs="Times New Roman"/>
        </w:rPr>
      </w:pPr>
    </w:p>
    <w:p w14:paraId="33D17C10" w14:textId="61DB791C" w:rsidR="00002C83" w:rsidRPr="00002C83" w:rsidRDefault="00002C83" w:rsidP="00002C83">
      <w:pPr>
        <w:pStyle w:val="Prrafodelista"/>
        <w:numPr>
          <w:ilvl w:val="0"/>
          <w:numId w:val="6"/>
        </w:numPr>
        <w:spacing w:after="0"/>
        <w:jc w:val="both"/>
        <w:rPr>
          <w:rFonts w:ascii="Book Antiqua" w:hAnsi="Book Antiqua" w:cs="Times New Roman"/>
          <w:b/>
        </w:rPr>
      </w:pPr>
      <w:proofErr w:type="gramStart"/>
      <w:r w:rsidRPr="00002C83">
        <w:rPr>
          <w:rFonts w:ascii="Book Antiqua" w:hAnsi="Book Antiqua" w:cs="Times New Roman"/>
          <w:b/>
        </w:rPr>
        <w:t>Pasos a seguir</w:t>
      </w:r>
      <w:proofErr w:type="gramEnd"/>
      <w:r w:rsidRPr="00002C83">
        <w:rPr>
          <w:rFonts w:ascii="Book Antiqua" w:hAnsi="Book Antiqua" w:cs="Times New Roman"/>
          <w:b/>
        </w:rPr>
        <w:t xml:space="preserve"> previo a la judicialización </w:t>
      </w:r>
    </w:p>
    <w:p w14:paraId="0D7509D6" w14:textId="0AB3A8C6" w:rsidR="00002C83" w:rsidRDefault="00002C83" w:rsidP="00002C83">
      <w:pPr>
        <w:spacing w:after="0"/>
        <w:jc w:val="both"/>
        <w:rPr>
          <w:rFonts w:ascii="Book Antiqua" w:hAnsi="Book Antiqua" w:cs="Times New Roman"/>
        </w:rPr>
      </w:pPr>
    </w:p>
    <w:p w14:paraId="295E69BB" w14:textId="41CB48B0" w:rsidR="00002C83" w:rsidRDefault="00002C83" w:rsidP="00002C83">
      <w:pPr>
        <w:spacing w:after="0"/>
        <w:jc w:val="both"/>
        <w:rPr>
          <w:rFonts w:ascii="Book Antiqua" w:hAnsi="Book Antiqua" w:cs="Times New Roman"/>
        </w:rPr>
      </w:pPr>
      <w:r>
        <w:rPr>
          <w:rFonts w:ascii="Book Antiqua" w:hAnsi="Book Antiqua" w:cs="Times New Roman"/>
        </w:rPr>
        <w:t xml:space="preserve">A parte de cumplir con el preceptivo requisito de procedibilidad que impone la </w:t>
      </w:r>
      <w:r w:rsidRPr="00002C83">
        <w:rPr>
          <w:rFonts w:ascii="Book Antiqua" w:hAnsi="Book Antiqua" w:cs="Times New Roman"/>
        </w:rPr>
        <w:t>Ley Orgánica 1/2025, de 2 de enero, de medidas en materia de eficiencia d</w:t>
      </w:r>
      <w:r>
        <w:rPr>
          <w:rFonts w:ascii="Book Antiqua" w:hAnsi="Book Antiqua" w:cs="Times New Roman"/>
        </w:rPr>
        <w:t>el Servicio Público de Justicia, con los MASC, ya sea instando a una fase de negociación o, por ejemplo, mediante una oferta vinculante confidencial, previo a entablar la correspondiente acción judicial de reclamación de da</w:t>
      </w:r>
      <w:r w:rsidR="00351BBB">
        <w:rPr>
          <w:rFonts w:ascii="Book Antiqua" w:hAnsi="Book Antiqua" w:cs="Times New Roman"/>
        </w:rPr>
        <w:t>ñ</w:t>
      </w:r>
      <w:r>
        <w:rPr>
          <w:rFonts w:ascii="Book Antiqua" w:hAnsi="Book Antiqua" w:cs="Times New Roman"/>
        </w:rPr>
        <w:t xml:space="preserve">os y perjuicios, es necesario: </w:t>
      </w:r>
    </w:p>
    <w:p w14:paraId="512260DE" w14:textId="07369F3E" w:rsidR="00002C83" w:rsidRDefault="00002C83" w:rsidP="00002C83">
      <w:pPr>
        <w:spacing w:after="0"/>
        <w:jc w:val="both"/>
        <w:rPr>
          <w:rFonts w:ascii="Book Antiqua" w:hAnsi="Book Antiqua" w:cs="Times New Roman"/>
        </w:rPr>
      </w:pPr>
    </w:p>
    <w:p w14:paraId="5517E241" w14:textId="58C2613A" w:rsidR="00002C83" w:rsidRPr="00002C83" w:rsidRDefault="00002C83" w:rsidP="00002C83">
      <w:pPr>
        <w:pStyle w:val="Prrafodelista"/>
        <w:numPr>
          <w:ilvl w:val="0"/>
          <w:numId w:val="7"/>
        </w:numPr>
        <w:spacing w:after="0"/>
        <w:contextualSpacing w:val="0"/>
        <w:jc w:val="both"/>
        <w:rPr>
          <w:rFonts w:ascii="Book Antiqua" w:hAnsi="Book Antiqua"/>
        </w:rPr>
      </w:pPr>
      <w:r w:rsidRPr="00002C83">
        <w:rPr>
          <w:rFonts w:ascii="Book Antiqua" w:hAnsi="Book Antiqua"/>
        </w:rPr>
        <w:t xml:space="preserve">Comunicar de forma fehaciente vía </w:t>
      </w:r>
      <w:r w:rsidRPr="00351BBB">
        <w:rPr>
          <w:rFonts w:ascii="Book Antiqua" w:hAnsi="Book Antiqua"/>
          <w:bCs/>
        </w:rPr>
        <w:t>burofax</w:t>
      </w:r>
      <w:r w:rsidRPr="00351BBB">
        <w:rPr>
          <w:rFonts w:ascii="Book Antiqua" w:hAnsi="Book Antiqua"/>
        </w:rPr>
        <w:t xml:space="preserve"> nuestra</w:t>
      </w:r>
      <w:r w:rsidRPr="00002C83">
        <w:rPr>
          <w:rFonts w:ascii="Book Antiqua" w:hAnsi="Book Antiqua"/>
        </w:rPr>
        <w:t xml:space="preserve"> disconformidad con ese </w:t>
      </w:r>
      <w:r>
        <w:rPr>
          <w:rFonts w:ascii="Book Antiqua" w:hAnsi="Book Antiqua"/>
        </w:rPr>
        <w:t>uso exclusivo y excluyente del</w:t>
      </w:r>
      <w:r w:rsidRPr="00002C83">
        <w:rPr>
          <w:rFonts w:ascii="Book Antiqua" w:hAnsi="Book Antiqua"/>
        </w:rPr>
        <w:t xml:space="preserve"> ocupante, que es incompatible con nuestro derecho y que nos ocasiona un perjuicio, para acreditar el cese de todo consentimiento tácito con respecto a que haga un uso exclusivo de la finca. En definitiva, en esta notificación debemos </w:t>
      </w:r>
      <w:r w:rsidRPr="00002C83">
        <w:rPr>
          <w:rFonts w:ascii="Book Antiqua" w:hAnsi="Book Antiqua"/>
          <w:b/>
          <w:bCs/>
        </w:rPr>
        <w:t xml:space="preserve">reclamar que el uso exclusivo finalice o se nos compense económicamente por tal uso </w:t>
      </w:r>
      <w:r w:rsidR="00351BBB">
        <w:rPr>
          <w:rFonts w:ascii="Book Antiqua" w:hAnsi="Book Antiqua"/>
          <w:b/>
          <w:bCs/>
        </w:rPr>
        <w:t>contrario a nuestros derechos</w:t>
      </w:r>
      <w:r w:rsidRPr="00002C83">
        <w:rPr>
          <w:rFonts w:ascii="Book Antiqua" w:hAnsi="Book Antiqua"/>
        </w:rPr>
        <w:t>.</w:t>
      </w:r>
    </w:p>
    <w:p w14:paraId="104FCB61" w14:textId="77777777" w:rsidR="00002C83" w:rsidRPr="00002C83" w:rsidRDefault="00002C83" w:rsidP="00002C83">
      <w:pPr>
        <w:spacing w:after="0"/>
        <w:ind w:left="708"/>
        <w:jc w:val="both"/>
        <w:rPr>
          <w:rFonts w:ascii="Book Antiqua" w:hAnsi="Book Antiqua"/>
        </w:rPr>
      </w:pPr>
    </w:p>
    <w:p w14:paraId="603A1410" w14:textId="77777777" w:rsidR="00002C83" w:rsidRPr="00002C83" w:rsidRDefault="00002C83" w:rsidP="00002C83">
      <w:pPr>
        <w:spacing w:after="0"/>
        <w:ind w:left="708"/>
        <w:jc w:val="both"/>
        <w:rPr>
          <w:rFonts w:ascii="Book Antiqua" w:hAnsi="Book Antiqua"/>
        </w:rPr>
      </w:pPr>
      <w:r w:rsidRPr="00002C83">
        <w:rPr>
          <w:rFonts w:ascii="Book Antiqua" w:hAnsi="Book Antiqua"/>
        </w:rPr>
        <w:t xml:space="preserve">En este sentido, la jurisprudencia concluye que la ocupación del copropietario no conlleva automáticamente el pago de una compensación hacia el otro copropietario que no detenta la posesión ni hace uso de la finca, siendo su posesión legítima hasta que haya una oposición expresa del otro copartícipe. En consecuencia, el cómputo para los importes a reclamar tendría su </w:t>
      </w:r>
      <w:proofErr w:type="spellStart"/>
      <w:r w:rsidRPr="00002C83">
        <w:rPr>
          <w:rFonts w:ascii="Book Antiqua" w:hAnsi="Book Antiqua"/>
          <w:i/>
          <w:iCs/>
        </w:rPr>
        <w:t>dies</w:t>
      </w:r>
      <w:proofErr w:type="spellEnd"/>
      <w:r w:rsidRPr="00002C83">
        <w:rPr>
          <w:rFonts w:ascii="Book Antiqua" w:hAnsi="Book Antiqua"/>
          <w:i/>
          <w:iCs/>
        </w:rPr>
        <w:t xml:space="preserve"> a quo</w:t>
      </w:r>
      <w:r w:rsidRPr="00002C83">
        <w:rPr>
          <w:rFonts w:ascii="Book Antiqua" w:hAnsi="Book Antiqua"/>
        </w:rPr>
        <w:t xml:space="preserve"> desde la notificación del burofax hasta el cese de la posesión exclusiva. [</w:t>
      </w:r>
      <w:r w:rsidRPr="00002C83">
        <w:rPr>
          <w:rFonts w:ascii="Book Antiqua" w:hAnsi="Book Antiqua"/>
          <w:i/>
          <w:iCs/>
        </w:rPr>
        <w:t>Vid.</w:t>
      </w:r>
      <w:r w:rsidRPr="00002C83">
        <w:rPr>
          <w:rFonts w:ascii="Book Antiqua" w:hAnsi="Book Antiqua"/>
        </w:rPr>
        <w:t xml:space="preserve"> SSTS, Sala 1ª, 4 de marzo de 1996; 416/1996, de 20 de mayo (Rec. 3398/1992); 975/2004, de 20 octubre (Rec. 2712/1998) y 1234/2007, de 28 de noviembre (Rec. 3613/2000)].</w:t>
      </w:r>
    </w:p>
    <w:p w14:paraId="2F20A31F" w14:textId="77777777" w:rsidR="00002C83" w:rsidRPr="00002C83" w:rsidRDefault="00002C83" w:rsidP="00002C83">
      <w:pPr>
        <w:spacing w:after="0"/>
        <w:ind w:left="708"/>
        <w:jc w:val="both"/>
        <w:rPr>
          <w:rFonts w:ascii="Book Antiqua" w:hAnsi="Book Antiqua"/>
        </w:rPr>
      </w:pPr>
    </w:p>
    <w:p w14:paraId="121EB907" w14:textId="21880BF6" w:rsidR="00002C83" w:rsidRPr="00002C83" w:rsidRDefault="00002C83" w:rsidP="00002C83">
      <w:pPr>
        <w:pStyle w:val="Prrafodelista"/>
        <w:numPr>
          <w:ilvl w:val="0"/>
          <w:numId w:val="7"/>
        </w:numPr>
        <w:spacing w:after="0"/>
        <w:contextualSpacing w:val="0"/>
        <w:jc w:val="both"/>
        <w:rPr>
          <w:rFonts w:ascii="Book Antiqua" w:hAnsi="Book Antiqua"/>
        </w:rPr>
      </w:pPr>
      <w:r w:rsidRPr="00002C83">
        <w:rPr>
          <w:rFonts w:ascii="Book Antiqua" w:hAnsi="Book Antiqua"/>
        </w:rPr>
        <w:t xml:space="preserve">Solicitar un </w:t>
      </w:r>
      <w:r w:rsidRPr="00351BBB">
        <w:rPr>
          <w:rFonts w:ascii="Book Antiqua" w:hAnsi="Book Antiqua"/>
          <w:bCs/>
        </w:rPr>
        <w:t>informe pericial</w:t>
      </w:r>
      <w:r w:rsidRPr="00351BBB">
        <w:rPr>
          <w:rFonts w:ascii="Book Antiqua" w:hAnsi="Book Antiqua"/>
        </w:rPr>
        <w:t xml:space="preserve"> emitido</w:t>
      </w:r>
      <w:r w:rsidRPr="00002C83">
        <w:rPr>
          <w:rFonts w:ascii="Book Antiqua" w:hAnsi="Book Antiqua"/>
        </w:rPr>
        <w:t xml:space="preserve"> por un </w:t>
      </w:r>
      <w:r>
        <w:rPr>
          <w:rFonts w:ascii="Book Antiqua" w:hAnsi="Book Antiqua"/>
        </w:rPr>
        <w:t xml:space="preserve">arquitecto, arquitecto técnico o por parte de un API, </w:t>
      </w:r>
      <w:r w:rsidRPr="00002C83">
        <w:rPr>
          <w:rFonts w:ascii="Book Antiqua" w:hAnsi="Book Antiqua"/>
        </w:rPr>
        <w:t xml:space="preserve">para </w:t>
      </w:r>
      <w:r w:rsidRPr="00002C83">
        <w:rPr>
          <w:rFonts w:ascii="Book Antiqua" w:hAnsi="Book Antiqua"/>
          <w:b/>
          <w:bCs/>
        </w:rPr>
        <w:t>cuantificar la indemnización</w:t>
      </w:r>
      <w:r w:rsidRPr="00002C83">
        <w:rPr>
          <w:rFonts w:ascii="Book Antiqua" w:hAnsi="Book Antiqua"/>
        </w:rPr>
        <w:t xml:space="preserve"> a reclamar, a efectos de que determine el </w:t>
      </w:r>
      <w:r w:rsidRPr="00002C83">
        <w:rPr>
          <w:rFonts w:ascii="Book Antiqua" w:hAnsi="Book Antiqua"/>
          <w:b/>
          <w:bCs/>
        </w:rPr>
        <w:t>valor de renta de mercado</w:t>
      </w:r>
      <w:r w:rsidRPr="00002C83">
        <w:rPr>
          <w:rFonts w:ascii="Book Antiqua" w:hAnsi="Book Antiqua"/>
        </w:rPr>
        <w:t xml:space="preserve"> aplicable a la finca, para luego reclamar una indemnización correspondiente a la parte proporcional de nuestra propiedad. </w:t>
      </w:r>
    </w:p>
    <w:p w14:paraId="5587C831" w14:textId="77777777" w:rsidR="00002C83" w:rsidRDefault="00002C83" w:rsidP="00002C83">
      <w:pPr>
        <w:spacing w:after="0"/>
        <w:jc w:val="both"/>
        <w:rPr>
          <w:rFonts w:ascii="Book Antiqua" w:hAnsi="Book Antiqua" w:cs="Times New Roman"/>
        </w:rPr>
      </w:pPr>
    </w:p>
    <w:p w14:paraId="73B987CF" w14:textId="394FCC7B" w:rsidR="007A2505" w:rsidRPr="0014376D" w:rsidRDefault="006301DF" w:rsidP="00002C83">
      <w:pPr>
        <w:pStyle w:val="Piedepgina"/>
        <w:spacing w:line="276" w:lineRule="auto"/>
        <w:jc w:val="both"/>
        <w:rPr>
          <w:rFonts w:ascii="Book Antiqua" w:hAnsi="Book Antiqua"/>
          <w:color w:val="FF0000"/>
          <w:sz w:val="22"/>
          <w:szCs w:val="22"/>
        </w:rPr>
      </w:pPr>
      <w:r w:rsidRPr="0014376D">
        <w:rPr>
          <w:rFonts w:ascii="Book Antiqua" w:hAnsi="Book Antiqua" w:cstheme="minorHAnsi"/>
          <w:i/>
          <w:sz w:val="22"/>
          <w:szCs w:val="22"/>
        </w:rPr>
        <w:lastRenderedPageBreak/>
        <w:t>*El presente artículo es meramente divulgativo y no supone asesoramiento ni compromiso de actualización.</w:t>
      </w:r>
      <w:r w:rsidR="00FD5757">
        <w:rPr>
          <w:rFonts w:ascii="Book Antiqua" w:hAnsi="Book Antiqua" w:cstheme="minorHAnsi"/>
          <w:i/>
          <w:sz w:val="22"/>
          <w:szCs w:val="22"/>
        </w:rPr>
        <w:t xml:space="preserve"> </w:t>
      </w:r>
      <w:r w:rsidRPr="0014376D">
        <w:rPr>
          <w:rFonts w:ascii="Book Antiqua" w:hAnsi="Book Antiqua" w:cstheme="minorHAnsi"/>
          <w:i/>
          <w:sz w:val="22"/>
          <w:szCs w:val="22"/>
        </w:rPr>
        <w:t xml:space="preserve">Para más información o asesoramiento, contacte con </w:t>
      </w:r>
      <w:hyperlink r:id="rId9" w:history="1">
        <w:r w:rsidR="00C562C9" w:rsidRPr="0022346D">
          <w:rPr>
            <w:rStyle w:val="Hipervnculo"/>
            <w:rFonts w:ascii="Book Antiqua" w:hAnsi="Book Antiqua" w:cstheme="minorHAnsi"/>
            <w:i/>
            <w:sz w:val="22"/>
            <w:szCs w:val="22"/>
          </w:rPr>
          <w:t>info@fernandezadvocats.es</w:t>
        </w:r>
      </w:hyperlink>
      <w:r w:rsidR="00C562C9">
        <w:rPr>
          <w:rFonts w:ascii="Book Antiqua" w:hAnsi="Book Antiqua" w:cstheme="minorHAnsi"/>
          <w:i/>
          <w:sz w:val="22"/>
          <w:szCs w:val="22"/>
        </w:rPr>
        <w:t xml:space="preserve"> </w:t>
      </w:r>
    </w:p>
    <w:sectPr w:rsidR="007A2505" w:rsidRPr="0014376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EE15E" w14:textId="77777777" w:rsidR="008B1832" w:rsidRDefault="008B1832" w:rsidP="000A02D6">
      <w:pPr>
        <w:spacing w:after="0" w:line="240" w:lineRule="auto"/>
      </w:pPr>
      <w:r>
        <w:separator/>
      </w:r>
    </w:p>
  </w:endnote>
  <w:endnote w:type="continuationSeparator" w:id="0">
    <w:p w14:paraId="6435A18B" w14:textId="77777777" w:rsidR="008B1832" w:rsidRDefault="008B1832" w:rsidP="000A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72693" w14:textId="77777777" w:rsidR="008B1832" w:rsidRDefault="008B1832" w:rsidP="000A02D6">
      <w:pPr>
        <w:spacing w:after="0" w:line="240" w:lineRule="auto"/>
      </w:pPr>
      <w:r>
        <w:separator/>
      </w:r>
    </w:p>
  </w:footnote>
  <w:footnote w:type="continuationSeparator" w:id="0">
    <w:p w14:paraId="32B946AA" w14:textId="77777777" w:rsidR="008B1832" w:rsidRDefault="008B1832" w:rsidP="000A02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85C"/>
    <w:multiLevelType w:val="hybridMultilevel"/>
    <w:tmpl w:val="F7BC7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52324F"/>
    <w:multiLevelType w:val="hybridMultilevel"/>
    <w:tmpl w:val="B5F86C42"/>
    <w:lvl w:ilvl="0" w:tplc="B30451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1610CF"/>
    <w:multiLevelType w:val="hybridMultilevel"/>
    <w:tmpl w:val="4D16B2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E01662"/>
    <w:multiLevelType w:val="hybridMultilevel"/>
    <w:tmpl w:val="E546482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35F7027"/>
    <w:multiLevelType w:val="hybridMultilevel"/>
    <w:tmpl w:val="6E70600C"/>
    <w:lvl w:ilvl="0" w:tplc="61707B4C">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69C464BC"/>
    <w:multiLevelType w:val="hybridMultilevel"/>
    <w:tmpl w:val="B5F86C42"/>
    <w:lvl w:ilvl="0" w:tplc="B304518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C42406C"/>
    <w:multiLevelType w:val="hybridMultilevel"/>
    <w:tmpl w:val="3168C6F2"/>
    <w:lvl w:ilvl="0" w:tplc="ADCE36C6">
      <w:start w:val="1"/>
      <w:numFmt w:val="upp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0635218">
    <w:abstractNumId w:val="6"/>
  </w:num>
  <w:num w:numId="2" w16cid:durableId="207763126">
    <w:abstractNumId w:val="0"/>
  </w:num>
  <w:num w:numId="3" w16cid:durableId="468135742">
    <w:abstractNumId w:val="4"/>
  </w:num>
  <w:num w:numId="4" w16cid:durableId="2015642703">
    <w:abstractNumId w:val="5"/>
  </w:num>
  <w:num w:numId="5" w16cid:durableId="358119155">
    <w:abstractNumId w:val="1"/>
  </w:num>
  <w:num w:numId="6" w16cid:durableId="296379200">
    <w:abstractNumId w:val="2"/>
  </w:num>
  <w:num w:numId="7" w16cid:durableId="28191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2D6"/>
    <w:rsid w:val="000029DF"/>
    <w:rsid w:val="00002C83"/>
    <w:rsid w:val="00085F9B"/>
    <w:rsid w:val="000A02D6"/>
    <w:rsid w:val="000D0460"/>
    <w:rsid w:val="00101FBC"/>
    <w:rsid w:val="00121886"/>
    <w:rsid w:val="0013401A"/>
    <w:rsid w:val="0014376D"/>
    <w:rsid w:val="001576D4"/>
    <w:rsid w:val="001C13BB"/>
    <w:rsid w:val="001C5544"/>
    <w:rsid w:val="001E4358"/>
    <w:rsid w:val="002014ED"/>
    <w:rsid w:val="00211D0D"/>
    <w:rsid w:val="0027195E"/>
    <w:rsid w:val="00273EA9"/>
    <w:rsid w:val="002929D2"/>
    <w:rsid w:val="00294EE2"/>
    <w:rsid w:val="002A49CD"/>
    <w:rsid w:val="002B5F3E"/>
    <w:rsid w:val="002E6B1F"/>
    <w:rsid w:val="0031176C"/>
    <w:rsid w:val="00335077"/>
    <w:rsid w:val="003478D7"/>
    <w:rsid w:val="00351BBB"/>
    <w:rsid w:val="0037465D"/>
    <w:rsid w:val="00380324"/>
    <w:rsid w:val="0039549D"/>
    <w:rsid w:val="003978F1"/>
    <w:rsid w:val="003A4701"/>
    <w:rsid w:val="003D3A27"/>
    <w:rsid w:val="003D6F3C"/>
    <w:rsid w:val="004047E4"/>
    <w:rsid w:val="00411E6A"/>
    <w:rsid w:val="004201A3"/>
    <w:rsid w:val="004239DD"/>
    <w:rsid w:val="0042644E"/>
    <w:rsid w:val="00491574"/>
    <w:rsid w:val="004955FA"/>
    <w:rsid w:val="00495FE5"/>
    <w:rsid w:val="004A3C2D"/>
    <w:rsid w:val="004A7357"/>
    <w:rsid w:val="004B3822"/>
    <w:rsid w:val="004B4D62"/>
    <w:rsid w:val="004D62BD"/>
    <w:rsid w:val="004F754C"/>
    <w:rsid w:val="00540E0E"/>
    <w:rsid w:val="00557723"/>
    <w:rsid w:val="0057584D"/>
    <w:rsid w:val="00587432"/>
    <w:rsid w:val="005A10EB"/>
    <w:rsid w:val="005A6922"/>
    <w:rsid w:val="005C380A"/>
    <w:rsid w:val="005D5A37"/>
    <w:rsid w:val="006023B5"/>
    <w:rsid w:val="006301DF"/>
    <w:rsid w:val="00651E1E"/>
    <w:rsid w:val="00657DEE"/>
    <w:rsid w:val="006700D4"/>
    <w:rsid w:val="00697A22"/>
    <w:rsid w:val="006F5CB2"/>
    <w:rsid w:val="00713B0D"/>
    <w:rsid w:val="0073165B"/>
    <w:rsid w:val="00766FF0"/>
    <w:rsid w:val="00776F87"/>
    <w:rsid w:val="007A2505"/>
    <w:rsid w:val="007B2124"/>
    <w:rsid w:val="007B50F7"/>
    <w:rsid w:val="007B6E78"/>
    <w:rsid w:val="00833394"/>
    <w:rsid w:val="00841137"/>
    <w:rsid w:val="00852BF8"/>
    <w:rsid w:val="00854E70"/>
    <w:rsid w:val="008953A9"/>
    <w:rsid w:val="008B1832"/>
    <w:rsid w:val="00911EC0"/>
    <w:rsid w:val="009156AD"/>
    <w:rsid w:val="00994190"/>
    <w:rsid w:val="009B0681"/>
    <w:rsid w:val="009B536A"/>
    <w:rsid w:val="009D1D53"/>
    <w:rsid w:val="009D44E0"/>
    <w:rsid w:val="00A5059C"/>
    <w:rsid w:val="00A52C36"/>
    <w:rsid w:val="00A66284"/>
    <w:rsid w:val="00A90E15"/>
    <w:rsid w:val="00AC206C"/>
    <w:rsid w:val="00AC4683"/>
    <w:rsid w:val="00AD6927"/>
    <w:rsid w:val="00B04F08"/>
    <w:rsid w:val="00B47E15"/>
    <w:rsid w:val="00B7574B"/>
    <w:rsid w:val="00BA30FA"/>
    <w:rsid w:val="00BA6F2F"/>
    <w:rsid w:val="00BF1AEA"/>
    <w:rsid w:val="00C50101"/>
    <w:rsid w:val="00C562C9"/>
    <w:rsid w:val="00C6320D"/>
    <w:rsid w:val="00C82E4E"/>
    <w:rsid w:val="00C9572B"/>
    <w:rsid w:val="00D455F8"/>
    <w:rsid w:val="00D52DEE"/>
    <w:rsid w:val="00D63EE6"/>
    <w:rsid w:val="00DA3BB6"/>
    <w:rsid w:val="00E03899"/>
    <w:rsid w:val="00E16D2E"/>
    <w:rsid w:val="00E2676D"/>
    <w:rsid w:val="00E2749B"/>
    <w:rsid w:val="00E33562"/>
    <w:rsid w:val="00E4606F"/>
    <w:rsid w:val="00E46339"/>
    <w:rsid w:val="00E54A7C"/>
    <w:rsid w:val="00EA01EC"/>
    <w:rsid w:val="00EA1C3B"/>
    <w:rsid w:val="00EB7433"/>
    <w:rsid w:val="00EE0C8A"/>
    <w:rsid w:val="00EF4968"/>
    <w:rsid w:val="00F435EA"/>
    <w:rsid w:val="00F76A2F"/>
    <w:rsid w:val="00F944C5"/>
    <w:rsid w:val="00FA6C95"/>
    <w:rsid w:val="00FC2962"/>
    <w:rsid w:val="00FD5757"/>
    <w:rsid w:val="00FD65AF"/>
    <w:rsid w:val="00FF5A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C00AF"/>
  <w15:chartTrackingRefBased/>
  <w15:docId w15:val="{3DD90829-FA24-4150-A3CE-DE8876402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2D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A02D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A02D6"/>
    <w:rPr>
      <w:sz w:val="20"/>
      <w:szCs w:val="20"/>
    </w:rPr>
  </w:style>
  <w:style w:type="character" w:styleId="Refdenotaalpie">
    <w:name w:val="footnote reference"/>
    <w:basedOn w:val="Fuentedeprrafopredeter"/>
    <w:uiPriority w:val="99"/>
    <w:semiHidden/>
    <w:unhideWhenUsed/>
    <w:rsid w:val="000A02D6"/>
    <w:rPr>
      <w:vertAlign w:val="superscript"/>
    </w:rPr>
  </w:style>
  <w:style w:type="character" w:styleId="Hipervnculo">
    <w:name w:val="Hyperlink"/>
    <w:basedOn w:val="Fuentedeprrafopredeter"/>
    <w:uiPriority w:val="99"/>
    <w:unhideWhenUsed/>
    <w:rsid w:val="000A02D6"/>
    <w:rPr>
      <w:color w:val="0563C1" w:themeColor="hyperlink"/>
      <w:u w:val="single"/>
    </w:rPr>
  </w:style>
  <w:style w:type="paragraph" w:customStyle="1" w:styleId="Default">
    <w:name w:val="Default"/>
    <w:rsid w:val="000A02D6"/>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NormalWeb">
    <w:name w:val="Normal (Web)"/>
    <w:basedOn w:val="Normal"/>
    <w:rsid w:val="000A02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833394"/>
    <w:pPr>
      <w:ind w:left="720"/>
      <w:contextualSpacing/>
    </w:pPr>
  </w:style>
  <w:style w:type="paragraph" w:styleId="Piedepgina">
    <w:name w:val="footer"/>
    <w:basedOn w:val="Normal"/>
    <w:link w:val="PiedepginaCar"/>
    <w:uiPriority w:val="99"/>
    <w:unhideWhenUsed/>
    <w:rsid w:val="006301DF"/>
    <w:pPr>
      <w:tabs>
        <w:tab w:val="center" w:pos="4252"/>
        <w:tab w:val="right" w:pos="8504"/>
      </w:tabs>
      <w:spacing w:after="0" w:line="240" w:lineRule="auto"/>
    </w:pPr>
    <w:rPr>
      <w:sz w:val="24"/>
      <w:szCs w:val="24"/>
      <w:lang w:val="es-ES_tradnl"/>
    </w:rPr>
  </w:style>
  <w:style w:type="character" w:customStyle="1" w:styleId="PiedepginaCar">
    <w:name w:val="Pie de página Car"/>
    <w:basedOn w:val="Fuentedeprrafopredeter"/>
    <w:link w:val="Piedepgina"/>
    <w:uiPriority w:val="99"/>
    <w:rsid w:val="006301DF"/>
    <w:rPr>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fernandezadvocat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E0B47-CC82-41AE-8150-4451FD798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1184</Words>
  <Characters>6512</Characters>
  <Application>Microsoft Office Word</Application>
  <DocSecurity>4</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bruser1729</cp:lastModifiedBy>
  <cp:revision>2</cp:revision>
  <dcterms:created xsi:type="dcterms:W3CDTF">2025-08-01T09:11:00Z</dcterms:created>
  <dcterms:modified xsi:type="dcterms:W3CDTF">2025-08-01T09:11:00Z</dcterms:modified>
</cp:coreProperties>
</file>