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5E49" w14:textId="605FFDA8" w:rsidR="00E3366F" w:rsidRDefault="00406551" w:rsidP="00406551">
      <w:pPr>
        <w:spacing w:after="0" w:line="360" w:lineRule="auto"/>
        <w:jc w:val="both"/>
        <w:rPr>
          <w:rFonts w:ascii="Book Antiqua" w:hAnsi="Book Antiqua"/>
          <w:b/>
          <w:lang w:val="ca-ES"/>
        </w:rPr>
      </w:pPr>
      <w:r w:rsidRPr="00406551">
        <w:rPr>
          <w:rFonts w:ascii="Book Antiqua" w:hAnsi="Book Antiqua"/>
          <w:b/>
          <w:lang w:val="ca-ES"/>
        </w:rPr>
        <w:t>EXPERTISE: INDEMNITZACIÓ PER INCOMPLIMENT DE CONVENI URBANÍSTIC. EL TSJ DE CATALUNYA CONFIRMA UNA INDEMNITZACIÓ DE 255.500€ PER OCUPACIÓ NO CONSENTIDA DE TERRENYS PARTICULARS PER PART D’UN AJUNTAMENT</w:t>
      </w:r>
    </w:p>
    <w:p w14:paraId="691A4EE8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b/>
          <w:lang w:val="ca-ES"/>
        </w:rPr>
      </w:pPr>
    </w:p>
    <w:p w14:paraId="05A8E127" w14:textId="77777777" w:rsidR="00E3366F" w:rsidRDefault="00E3366F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>El Tribunal Superior de Justícia de Catalunya (STSJ Catalunya 1631/2025) ha estimat parcialment el nostre recurs d'apel·lació, incrementant significativament la indemnització que inicialment havia reconegut el Jutjat Contenciós Administrati</w:t>
      </w:r>
      <w:r w:rsidR="00782073" w:rsidRPr="00406551">
        <w:rPr>
          <w:rFonts w:ascii="Book Antiqua" w:hAnsi="Book Antiqua"/>
          <w:lang w:val="ca-ES"/>
        </w:rPr>
        <w:t>u núm. 16 de Barcelona.</w:t>
      </w:r>
    </w:p>
    <w:p w14:paraId="3209042C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3AD24559" w14:textId="47E1B93D" w:rsidR="00E3366F" w:rsidRPr="00406551" w:rsidRDefault="00E3366F" w:rsidP="00406551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lang w:val="ca-ES"/>
        </w:rPr>
      </w:pPr>
      <w:r w:rsidRPr="00406551">
        <w:rPr>
          <w:rFonts w:ascii="Book Antiqua" w:hAnsi="Book Antiqua"/>
          <w:b/>
          <w:lang w:val="ca-ES"/>
        </w:rPr>
        <w:t>Antecedents</w:t>
      </w:r>
      <w:r w:rsidR="00782073" w:rsidRPr="00406551">
        <w:rPr>
          <w:rFonts w:ascii="Book Antiqua" w:hAnsi="Book Antiqua"/>
          <w:b/>
          <w:lang w:val="ca-ES"/>
        </w:rPr>
        <w:t xml:space="preserve"> del cas</w:t>
      </w:r>
    </w:p>
    <w:p w14:paraId="2FBB394E" w14:textId="77777777" w:rsidR="00E3366F" w:rsidRDefault="00E3366F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>Després dels tractes corresponents, l’Ajuntament va subscriure amb el nostre clie</w:t>
      </w:r>
      <w:r w:rsidR="00782073" w:rsidRPr="00406551">
        <w:rPr>
          <w:rFonts w:ascii="Book Antiqua" w:hAnsi="Book Antiqua"/>
          <w:lang w:val="ca-ES"/>
        </w:rPr>
        <w:t>nt un Conveni U</w:t>
      </w:r>
      <w:r w:rsidRPr="00406551">
        <w:rPr>
          <w:rFonts w:ascii="Book Antiqua" w:hAnsi="Book Antiqua"/>
          <w:lang w:val="ca-ES"/>
        </w:rPr>
        <w:t xml:space="preserve">rbanístic per a l'ocupació temporal d'uns terrenys destinats a la construcció d'un centre educatiu. Tanmateix, el conveni establia una indemnització de 100 euros diaris en cas de demora en la restitució dels terrenys finalitzades les obres. </w:t>
      </w:r>
    </w:p>
    <w:p w14:paraId="10FE5B27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3C92343C" w14:textId="77777777" w:rsidR="00E3366F" w:rsidRDefault="00E3366F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 xml:space="preserve">Aquestes obres van finalitzar el desembre de 2011, però l'Ajuntament no va retornar els terrenys al seu estat original, sinó que aquests van continuar sent utilitzats com a aparcament del centre educatiu, sense establir mai cap mena de compensació al propietari, qui va confiar-nos els seus interessos pe les reclamacions corresponents. </w:t>
      </w:r>
    </w:p>
    <w:p w14:paraId="36D5E436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4FEAC5E7" w14:textId="08A1F789" w:rsidR="00E3366F" w:rsidRPr="00406551" w:rsidRDefault="00E3366F" w:rsidP="00406551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lang w:val="ca-ES"/>
        </w:rPr>
      </w:pPr>
      <w:r w:rsidRPr="00406551">
        <w:rPr>
          <w:rFonts w:ascii="Book Antiqua" w:hAnsi="Book Antiqua"/>
          <w:b/>
          <w:lang w:val="ca-ES"/>
        </w:rPr>
        <w:t>Sentència en primera instància</w:t>
      </w:r>
    </w:p>
    <w:p w14:paraId="7CB6FC2A" w14:textId="77777777" w:rsidR="00E3366F" w:rsidRDefault="00E3366F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 xml:space="preserve">Durant la primera instància, es va demostrar que l’Ajuntament havia menystingut les reclamacions del propietari i veí del poble, </w:t>
      </w:r>
      <w:r w:rsidR="00782073" w:rsidRPr="00406551">
        <w:rPr>
          <w:rFonts w:ascii="Book Antiqua" w:hAnsi="Book Antiqua"/>
          <w:lang w:val="ca-ES"/>
        </w:rPr>
        <w:t>constatant que s’havia actuat</w:t>
      </w:r>
      <w:r w:rsidRPr="00406551">
        <w:rPr>
          <w:rFonts w:ascii="Book Antiqua" w:hAnsi="Book Antiqua"/>
          <w:lang w:val="ca-ES"/>
        </w:rPr>
        <w:t xml:space="preserve"> de manera desidiosa amb aquest afer durant molts anys en que es va destinar els terrenys a pàrquing públic</w:t>
      </w:r>
      <w:r w:rsidR="00782073" w:rsidRPr="00406551">
        <w:rPr>
          <w:rFonts w:ascii="Book Antiqua" w:hAnsi="Book Antiqua"/>
          <w:lang w:val="ca-ES"/>
        </w:rPr>
        <w:t xml:space="preserve"> a costa del propietari</w:t>
      </w:r>
      <w:r w:rsidRPr="00406551">
        <w:rPr>
          <w:rFonts w:ascii="Book Antiqua" w:hAnsi="Book Antiqua"/>
          <w:lang w:val="ca-ES"/>
        </w:rPr>
        <w:t xml:space="preserve">, desmentint la tesi de l’Ajuntament que aquest pàrquing ho era per mera </w:t>
      </w:r>
      <w:r w:rsidR="00782073" w:rsidRPr="00406551">
        <w:rPr>
          <w:rFonts w:ascii="Book Antiqua" w:hAnsi="Book Antiqua"/>
          <w:lang w:val="ca-ES"/>
        </w:rPr>
        <w:t>tolerància</w:t>
      </w:r>
      <w:r w:rsidRPr="00406551">
        <w:rPr>
          <w:rFonts w:ascii="Book Antiqua" w:hAnsi="Book Antiqua"/>
          <w:lang w:val="ca-ES"/>
        </w:rPr>
        <w:t xml:space="preserve"> del </w:t>
      </w:r>
      <w:r w:rsidR="00782073" w:rsidRPr="00406551">
        <w:rPr>
          <w:rFonts w:ascii="Book Antiqua" w:hAnsi="Book Antiqua"/>
          <w:lang w:val="ca-ES"/>
        </w:rPr>
        <w:t>veí</w:t>
      </w:r>
      <w:r w:rsidRPr="00406551">
        <w:rPr>
          <w:rFonts w:ascii="Book Antiqua" w:hAnsi="Book Antiqua"/>
          <w:lang w:val="ca-ES"/>
        </w:rPr>
        <w:t xml:space="preserve">. </w:t>
      </w:r>
    </w:p>
    <w:p w14:paraId="3EECDAB8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36CB2CA2" w14:textId="77777777" w:rsidR="00406551" w:rsidRDefault="00E3366F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>Tanmateix, es va fixar una indemnització de 100.000 euros que el JCA nº 16 de Barcelona entenia proporcionada</w:t>
      </w:r>
      <w:r w:rsidR="00782073" w:rsidRPr="00406551">
        <w:rPr>
          <w:rFonts w:ascii="Book Antiqua" w:hAnsi="Book Antiqua"/>
          <w:lang w:val="ca-ES"/>
        </w:rPr>
        <w:t>. Això va comportar</w:t>
      </w:r>
      <w:r w:rsidRPr="00406551">
        <w:rPr>
          <w:rFonts w:ascii="Book Antiqua" w:hAnsi="Book Antiqua"/>
          <w:lang w:val="ca-ES"/>
        </w:rPr>
        <w:t xml:space="preserve"> que l’Ajuntament formulés recurs per tal de revocar i/o rebaixar la indemnització</w:t>
      </w:r>
      <w:r w:rsidR="00782073" w:rsidRPr="00406551">
        <w:rPr>
          <w:rFonts w:ascii="Book Antiqua" w:hAnsi="Book Antiqua"/>
          <w:lang w:val="ca-ES"/>
        </w:rPr>
        <w:t xml:space="preserve"> establerta</w:t>
      </w:r>
      <w:r w:rsidRPr="00406551">
        <w:rPr>
          <w:rFonts w:ascii="Book Antiqua" w:hAnsi="Book Antiqua"/>
          <w:lang w:val="ca-ES"/>
        </w:rPr>
        <w:t xml:space="preserve">, i el propietari també </w:t>
      </w:r>
      <w:r w:rsidR="00782073" w:rsidRPr="00406551">
        <w:rPr>
          <w:rFonts w:ascii="Book Antiqua" w:hAnsi="Book Antiqua"/>
          <w:lang w:val="ca-ES"/>
        </w:rPr>
        <w:t xml:space="preserve">interposés recurs tendent a incrementar aquesta suma. </w:t>
      </w:r>
      <w:r w:rsidR="00782073" w:rsidRPr="00406551">
        <w:rPr>
          <w:rFonts w:ascii="Book Antiqua" w:hAnsi="Book Antiqua"/>
          <w:lang w:val="ca-ES"/>
        </w:rPr>
        <w:tab/>
      </w:r>
    </w:p>
    <w:p w14:paraId="12F4E1E1" w14:textId="1BD39B2C" w:rsidR="00E3366F" w:rsidRPr="00406551" w:rsidRDefault="00E3366F" w:rsidP="00406551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b/>
          <w:lang w:val="ca-ES"/>
        </w:rPr>
        <w:lastRenderedPageBreak/>
        <w:t xml:space="preserve">Sentència en segona instància </w:t>
      </w:r>
    </w:p>
    <w:p w14:paraId="578A29B6" w14:textId="77777777" w:rsidR="00E3366F" w:rsidRDefault="00E3366F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>El Tribunal</w:t>
      </w:r>
      <w:r w:rsidR="00782073" w:rsidRPr="00406551">
        <w:rPr>
          <w:rFonts w:ascii="Book Antiqua" w:hAnsi="Book Antiqua"/>
          <w:lang w:val="ca-ES"/>
        </w:rPr>
        <w:t xml:space="preserve"> Superior de Justícia</w:t>
      </w:r>
      <w:r w:rsidRPr="00406551">
        <w:rPr>
          <w:rFonts w:ascii="Book Antiqua" w:hAnsi="Book Antiqua"/>
          <w:lang w:val="ca-ES"/>
        </w:rPr>
        <w:t xml:space="preserve"> confirma que l'Ajuntament va incomplir la seva obligació de restituir els terrenys segons el pactat, ressenyant les proves (documentals i testificals) que evidenciaven la consciència municipal de la situació d’ocupació</w:t>
      </w:r>
      <w:r w:rsidR="00782073" w:rsidRPr="00406551">
        <w:rPr>
          <w:rFonts w:ascii="Book Antiqua" w:hAnsi="Book Antiqua"/>
          <w:lang w:val="ca-ES"/>
        </w:rPr>
        <w:t xml:space="preserve"> extralimitada i no consentida, i estima que la indemnització procedent per raó de la ocupació hauria de calcular-se d’acord amb la penalització prevista al Conveni, fixant-la en 255.000 euros, rebutjant l’aplicació de l’article 1154 CC a l’hora de moderar la xifra </w:t>
      </w:r>
      <w:proofErr w:type="spellStart"/>
      <w:r w:rsidR="00782073" w:rsidRPr="00406551">
        <w:rPr>
          <w:rFonts w:ascii="Book Antiqua" w:hAnsi="Book Antiqua"/>
          <w:lang w:val="ca-ES"/>
        </w:rPr>
        <w:t>indemnitzatòria</w:t>
      </w:r>
      <w:proofErr w:type="spellEnd"/>
      <w:r w:rsidR="00782073" w:rsidRPr="00406551">
        <w:rPr>
          <w:rFonts w:ascii="Book Antiqua" w:hAnsi="Book Antiqua"/>
          <w:lang w:val="ca-ES"/>
        </w:rPr>
        <w:t xml:space="preserve"> que hagi de correspondre al perjudicat. </w:t>
      </w:r>
    </w:p>
    <w:p w14:paraId="2854A49C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6A6F1510" w14:textId="77777777" w:rsidR="00782073" w:rsidRDefault="00782073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>Aquesta S</w:t>
      </w:r>
      <w:r w:rsidR="00E3366F" w:rsidRPr="00406551">
        <w:rPr>
          <w:rFonts w:ascii="Book Antiqua" w:hAnsi="Book Antiqua"/>
          <w:lang w:val="ca-ES"/>
        </w:rPr>
        <w:t>entència estableix un precedent</w:t>
      </w:r>
      <w:r w:rsidRPr="00406551">
        <w:rPr>
          <w:rFonts w:ascii="Book Antiqua" w:hAnsi="Book Antiqua"/>
          <w:lang w:val="ca-ES"/>
        </w:rPr>
        <w:t xml:space="preserve"> molt</w:t>
      </w:r>
      <w:r w:rsidR="00E3366F" w:rsidRPr="00406551">
        <w:rPr>
          <w:rFonts w:ascii="Book Antiqua" w:hAnsi="Book Antiqua"/>
          <w:lang w:val="ca-ES"/>
        </w:rPr>
        <w:t xml:space="preserve"> important en matèria d'ocupacions </w:t>
      </w:r>
      <w:r w:rsidRPr="00406551">
        <w:rPr>
          <w:rFonts w:ascii="Book Antiqua" w:hAnsi="Book Antiqua"/>
          <w:lang w:val="ca-ES"/>
        </w:rPr>
        <w:t>irregulars i no consentides</w:t>
      </w:r>
      <w:r w:rsidR="00E3366F" w:rsidRPr="00406551">
        <w:rPr>
          <w:rFonts w:ascii="Book Antiqua" w:hAnsi="Book Antiqua"/>
          <w:lang w:val="ca-ES"/>
        </w:rPr>
        <w:t xml:space="preserve"> post-conveni, reforçant la posició dels propietaris davant les administracions públiques. També subratlla la importància d'establir clàusules penals clares en el</w:t>
      </w:r>
      <w:r w:rsidRPr="00406551">
        <w:rPr>
          <w:rFonts w:ascii="Book Antiqua" w:hAnsi="Book Antiqua"/>
          <w:lang w:val="ca-ES"/>
        </w:rPr>
        <w:t>s convenis urbanístics.</w:t>
      </w:r>
    </w:p>
    <w:p w14:paraId="26A1B344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428800DF" w14:textId="77777777" w:rsidR="00E3366F" w:rsidRDefault="00782073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  <w:r w:rsidRPr="00406551">
        <w:rPr>
          <w:rFonts w:ascii="Book Antiqua" w:hAnsi="Book Antiqua"/>
          <w:lang w:val="ca-ES"/>
        </w:rPr>
        <w:t>R</w:t>
      </w:r>
      <w:r w:rsidR="00E3366F" w:rsidRPr="00406551">
        <w:rPr>
          <w:rFonts w:ascii="Book Antiqua" w:hAnsi="Book Antiqua"/>
          <w:lang w:val="ca-ES"/>
        </w:rPr>
        <w:t xml:space="preserve">epresenta una fita significativa en la defensa dels drets dels propietaris enfront d'ocupacions </w:t>
      </w:r>
      <w:proofErr w:type="spellStart"/>
      <w:r w:rsidR="00E3366F" w:rsidRPr="00406551">
        <w:rPr>
          <w:rFonts w:ascii="Book Antiqua" w:hAnsi="Book Antiqua"/>
          <w:lang w:val="ca-ES"/>
        </w:rPr>
        <w:t>inconsentides</w:t>
      </w:r>
      <w:proofErr w:type="spellEnd"/>
      <w:r w:rsidR="00E3366F" w:rsidRPr="00406551">
        <w:rPr>
          <w:rFonts w:ascii="Book Antiqua" w:hAnsi="Book Antiqua"/>
          <w:lang w:val="ca-ES"/>
        </w:rPr>
        <w:t xml:space="preserve"> per part de l'Administració, establint criteris clars sobre la quantificació d'i</w:t>
      </w:r>
      <w:r w:rsidRPr="00406551">
        <w:rPr>
          <w:rFonts w:ascii="Book Antiqua" w:hAnsi="Book Antiqua"/>
          <w:lang w:val="ca-ES"/>
        </w:rPr>
        <w:t xml:space="preserve">ndemnitzacions en aquests casos, en atenció al pactat, i </w:t>
      </w:r>
      <w:r w:rsidR="00E3366F" w:rsidRPr="00406551">
        <w:rPr>
          <w:rFonts w:ascii="Book Antiqua" w:hAnsi="Book Antiqua"/>
          <w:lang w:val="ca-ES"/>
        </w:rPr>
        <w:t>posa de manifest la necessitat que les administracions públiques compleixin estrictament amb els terminis i condicions establerts en els convenis urbanístics, així com les conseqüències econòmiques del seu incompliment.</w:t>
      </w:r>
    </w:p>
    <w:p w14:paraId="1BC090BB" w14:textId="77777777" w:rsidR="00406551" w:rsidRDefault="00406551" w:rsidP="00406551">
      <w:pPr>
        <w:spacing w:after="0" w:line="360" w:lineRule="auto"/>
        <w:jc w:val="both"/>
        <w:rPr>
          <w:rFonts w:ascii="Book Antiqua" w:hAnsi="Book Antiqua"/>
          <w:lang w:val="ca-ES"/>
        </w:rPr>
      </w:pPr>
    </w:p>
    <w:p w14:paraId="267F43ED" w14:textId="6713D130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i/>
          <w:iCs/>
          <w:lang w:val="ca-ES"/>
        </w:rPr>
      </w:pPr>
      <w:r w:rsidRPr="00406551">
        <w:rPr>
          <w:rFonts w:ascii="Book Antiqua" w:hAnsi="Book Antiqua"/>
          <w:i/>
          <w:iCs/>
          <w:lang w:val="ca-ES"/>
        </w:rPr>
        <w:t xml:space="preserve">El present article és merament divulgatiu i no suposa assessorament ni Compromís d’actualització. </w:t>
      </w:r>
    </w:p>
    <w:p w14:paraId="08F63F61" w14:textId="7B2ACF0D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  <w:i/>
          <w:iCs/>
          <w:lang w:val="ca-ES"/>
        </w:rPr>
      </w:pPr>
      <w:r w:rsidRPr="00406551">
        <w:rPr>
          <w:rFonts w:ascii="Book Antiqua" w:hAnsi="Book Antiqua"/>
          <w:i/>
          <w:iCs/>
          <w:lang w:val="ca-ES"/>
        </w:rPr>
        <w:t xml:space="preserve">Per més informació o assessorament, contacta amb </w:t>
      </w:r>
      <w:r w:rsidRPr="00406551">
        <w:rPr>
          <w:rFonts w:ascii="Book Antiqua" w:hAnsi="Book Antiqua"/>
          <w:i/>
          <w:iCs/>
          <w:lang w:val="ca-ES"/>
        </w:rPr>
        <w:t>info@fernandezadvocats.es</w:t>
      </w:r>
    </w:p>
    <w:p w14:paraId="69910ACC" w14:textId="77777777" w:rsidR="00406551" w:rsidRPr="00406551" w:rsidRDefault="00406551" w:rsidP="00406551">
      <w:pPr>
        <w:spacing w:after="0" w:line="360" w:lineRule="auto"/>
        <w:jc w:val="both"/>
        <w:rPr>
          <w:rFonts w:ascii="Book Antiqua" w:hAnsi="Book Antiqua"/>
        </w:rPr>
      </w:pPr>
    </w:p>
    <w:sectPr w:rsidR="00406551" w:rsidRPr="004065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7ACF" w14:textId="77777777" w:rsidR="00406551" w:rsidRDefault="00406551" w:rsidP="00406551">
      <w:pPr>
        <w:spacing w:after="0" w:line="240" w:lineRule="auto"/>
      </w:pPr>
      <w:r>
        <w:separator/>
      </w:r>
    </w:p>
  </w:endnote>
  <w:endnote w:type="continuationSeparator" w:id="0">
    <w:p w14:paraId="04597233" w14:textId="77777777" w:rsidR="00406551" w:rsidRDefault="00406551" w:rsidP="0040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0CCA" w14:textId="77777777" w:rsidR="00406551" w:rsidRDefault="00406551" w:rsidP="00406551">
      <w:pPr>
        <w:spacing w:after="0" w:line="240" w:lineRule="auto"/>
      </w:pPr>
      <w:r>
        <w:separator/>
      </w:r>
    </w:p>
  </w:footnote>
  <w:footnote w:type="continuationSeparator" w:id="0">
    <w:p w14:paraId="5BC688C7" w14:textId="77777777" w:rsidR="00406551" w:rsidRDefault="00406551" w:rsidP="0040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6694" w14:textId="25D297D3" w:rsidR="00406551" w:rsidRDefault="00406551">
    <w:pPr>
      <w:pStyle w:val="Capalera"/>
    </w:pPr>
    <w:r>
      <w:rPr>
        <w:noProof/>
      </w:rPr>
      <w:drawing>
        <wp:inline distT="0" distB="0" distL="0" distR="0" wp14:anchorId="1B173E37" wp14:editId="65BA7F2C">
          <wp:extent cx="2581275" cy="1085850"/>
          <wp:effectExtent l="0" t="0" r="9525" b="0"/>
          <wp:docPr id="2" name="Imagen 1" descr="C:\Users\Nati\Desktop\LogoF.Advocats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Nati\Desktop\LogoF.AdvocatsHorizontal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E0617"/>
    <w:multiLevelType w:val="hybridMultilevel"/>
    <w:tmpl w:val="C438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60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6F"/>
    <w:rsid w:val="003159BD"/>
    <w:rsid w:val="00406551"/>
    <w:rsid w:val="00584A09"/>
    <w:rsid w:val="00782073"/>
    <w:rsid w:val="00E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88A7"/>
  <w15:chartTrackingRefBased/>
  <w15:docId w15:val="{9E60DC48-506A-4690-971C-A7D17EB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06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06551"/>
  </w:style>
  <w:style w:type="paragraph" w:styleId="Peu">
    <w:name w:val="footer"/>
    <w:basedOn w:val="Normal"/>
    <w:link w:val="PeuCar"/>
    <w:uiPriority w:val="99"/>
    <w:unhideWhenUsed/>
    <w:rsid w:val="00406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06551"/>
  </w:style>
  <w:style w:type="paragraph" w:styleId="Pargrafdellista">
    <w:name w:val="List Paragraph"/>
    <w:basedOn w:val="Normal"/>
    <w:uiPriority w:val="34"/>
    <w:qFormat/>
    <w:rsid w:val="0040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Marta Nasarre</cp:lastModifiedBy>
  <cp:revision>2</cp:revision>
  <dcterms:created xsi:type="dcterms:W3CDTF">2025-07-31T11:50:00Z</dcterms:created>
  <dcterms:modified xsi:type="dcterms:W3CDTF">2025-07-31T11:50:00Z</dcterms:modified>
</cp:coreProperties>
</file>